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887" w:rsidRPr="00B16609" w:rsidRDefault="008B1887" w:rsidP="008B1887">
      <w:pPr>
        <w:spacing w:after="10"/>
        <w:ind w:left="-5" w:hanging="10"/>
        <w:jc w:val="left"/>
        <w:rPr>
          <w:rFonts w:ascii="Arial" w:hAnsi="Arial" w:cs="Arial"/>
          <w:b/>
        </w:rPr>
      </w:pPr>
      <w:r w:rsidRPr="00B16609">
        <w:rPr>
          <w:rFonts w:ascii="Arial" w:hAnsi="Arial" w:cs="Arial"/>
          <w:b/>
        </w:rPr>
        <w:t xml:space="preserve">DIPUTADO </w:t>
      </w:r>
      <w:r w:rsidR="00ED09D4">
        <w:rPr>
          <w:rFonts w:ascii="Arial" w:hAnsi="Arial" w:cs="Arial"/>
          <w:b/>
        </w:rPr>
        <w:t>RAFAEL GERMÁN QUINTAL MEDINA</w:t>
      </w:r>
    </w:p>
    <w:p w:rsidR="008B1887" w:rsidRPr="00B16609" w:rsidRDefault="008B1887" w:rsidP="008B1887">
      <w:pPr>
        <w:spacing w:after="10"/>
        <w:ind w:left="-5" w:hanging="10"/>
        <w:jc w:val="left"/>
        <w:rPr>
          <w:rFonts w:ascii="Arial" w:hAnsi="Arial" w:cs="Arial"/>
          <w:b/>
        </w:rPr>
      </w:pPr>
      <w:r w:rsidRPr="00B16609">
        <w:rPr>
          <w:rFonts w:ascii="Arial" w:hAnsi="Arial" w:cs="Arial"/>
          <w:b/>
        </w:rPr>
        <w:t>PRESIDENTE DE LA MESA DIRECTIVA DEL</w:t>
      </w:r>
    </w:p>
    <w:p w:rsidR="008B1887" w:rsidRPr="00B16609" w:rsidRDefault="008B1887" w:rsidP="008B1887">
      <w:pPr>
        <w:spacing w:after="10"/>
        <w:ind w:left="-5" w:hanging="10"/>
        <w:jc w:val="left"/>
        <w:rPr>
          <w:rFonts w:ascii="Arial" w:hAnsi="Arial" w:cs="Arial"/>
        </w:rPr>
      </w:pPr>
      <w:r w:rsidRPr="00B16609">
        <w:rPr>
          <w:rFonts w:ascii="Arial" w:hAnsi="Arial" w:cs="Arial"/>
          <w:b/>
        </w:rPr>
        <w:t xml:space="preserve">CONGRESO DEL ESTADO DE YUCATAN </w:t>
      </w:r>
    </w:p>
    <w:p w:rsidR="008B1887" w:rsidRPr="00B16609" w:rsidRDefault="008B1887" w:rsidP="008B1887">
      <w:pPr>
        <w:spacing w:after="10"/>
        <w:ind w:left="-5" w:hanging="10"/>
        <w:jc w:val="left"/>
        <w:rPr>
          <w:rFonts w:ascii="Arial" w:hAnsi="Arial" w:cs="Arial"/>
        </w:rPr>
      </w:pPr>
      <w:r w:rsidRPr="00B16609">
        <w:rPr>
          <w:rFonts w:ascii="Arial" w:hAnsi="Arial" w:cs="Arial"/>
          <w:b/>
        </w:rPr>
        <w:t xml:space="preserve">LXIV LEGISLATURA </w:t>
      </w:r>
    </w:p>
    <w:p w:rsidR="008B1887" w:rsidRPr="00B16609" w:rsidRDefault="008B1887" w:rsidP="008B1887">
      <w:pPr>
        <w:spacing w:after="10"/>
        <w:ind w:left="-5" w:hanging="10"/>
        <w:jc w:val="left"/>
        <w:rPr>
          <w:rFonts w:ascii="Arial" w:hAnsi="Arial" w:cs="Arial"/>
        </w:rPr>
      </w:pPr>
      <w:r w:rsidRPr="00B16609">
        <w:rPr>
          <w:rFonts w:ascii="Arial" w:hAnsi="Arial" w:cs="Arial"/>
          <w:b/>
        </w:rPr>
        <w:t xml:space="preserve">PRESENTE </w:t>
      </w:r>
    </w:p>
    <w:p w:rsidR="008B1887" w:rsidRPr="00B16609" w:rsidRDefault="008B1887" w:rsidP="008B1887">
      <w:pPr>
        <w:spacing w:line="259" w:lineRule="auto"/>
        <w:ind w:firstLine="0"/>
        <w:jc w:val="left"/>
        <w:rPr>
          <w:rFonts w:ascii="Arial" w:hAnsi="Arial" w:cs="Arial"/>
        </w:rPr>
      </w:pPr>
      <w:r w:rsidRPr="00B16609">
        <w:rPr>
          <w:rFonts w:ascii="Arial" w:hAnsi="Arial" w:cs="Arial"/>
        </w:rPr>
        <w:t xml:space="preserve"> </w:t>
      </w:r>
    </w:p>
    <w:p w:rsidR="001C69DE" w:rsidRPr="001C69DE" w:rsidRDefault="00792FBA" w:rsidP="001C69DE">
      <w:pPr>
        <w:ind w:left="10" w:right="49" w:firstLine="0"/>
        <w:rPr>
          <w:rFonts w:ascii="Tahoma" w:eastAsia="Times New Roman" w:hAnsi="Tahoma" w:cs="Tahoma"/>
          <w:bCs/>
        </w:rPr>
      </w:pPr>
      <w:r>
        <w:rPr>
          <w:rFonts w:ascii="Arial" w:hAnsi="Arial" w:cs="Arial"/>
          <w:b/>
        </w:rPr>
        <w:t>FRANCISCO ROSAS VILLAVICENCIO</w:t>
      </w:r>
      <w:r w:rsidR="008B1887" w:rsidRPr="00B16609">
        <w:rPr>
          <w:rFonts w:ascii="Arial" w:hAnsi="Arial" w:cs="Arial"/>
        </w:rPr>
        <w:t>, Diputado de la LXIV legislatura, y con fundamento en el artículo 35 fracción I de la Constitución Política del Estado de Yucatán, y los artículos 16 y 22 fracción VI de la Ley de Gobierno de Poder Legislativo del Estado de Yucatán, así como los artículos 68 y 69 del Reglamento de la citada Ley, a nombre de la Fracción Parlamentaria de Morena y de las representaciones del Partido del Trabajo y Verde Ecologista de México, me permito presentar a consideración de esta H. soberanía la presente iniciativa con proyecto de decreto por el que</w:t>
      </w:r>
      <w:r w:rsidR="001C69DE">
        <w:rPr>
          <w:rFonts w:ascii="Arial" w:hAnsi="Arial" w:cs="Arial"/>
        </w:rPr>
        <w:t xml:space="preserve">, </w:t>
      </w:r>
      <w:r w:rsidR="001C69DE" w:rsidRPr="00FE23C2">
        <w:rPr>
          <w:rFonts w:ascii="Tahoma" w:hAnsi="Tahoma" w:cs="Tahoma"/>
          <w:b/>
          <w:sz w:val="22"/>
          <w:szCs w:val="22"/>
        </w:rPr>
        <w:t>SE ADICIONA UN NUEVO ARTÍCULO 1573 BIS; SE REFORMA EL ARTÍCULO 1613 DEL CÓDIGO CIVIL; SE RECORRE LA FRACCIÓN XV, UBICÁNDOLE COMO FRACCIÓN XVII Y SE ADICIONAN DOS NUEVAS FRACCIONES XV Y XVI DEL ARTÍCULO PRIMERO; SE REFORMA LA FRACCIÓN I DEL ARTÍCULO 22; SE REFORMA LA FRACCIÓN I DEL ARTÍCULO 73; SE ADICIONA EL CAPÍTULO V DE LA VIVIENDA EN ARRENDAMIENTO, INTEGRADO POR DOS NUEVOS ARTÍCULOS, 62 BIS Y 62 TER TODOS DE LA LEY DE VIVIENDA DEL ESTADO DE YUCATÁN</w:t>
      </w:r>
      <w:r w:rsidR="001C69DE">
        <w:rPr>
          <w:rFonts w:ascii="Tahoma" w:hAnsi="Tahoma" w:cs="Tahoma"/>
          <w:b/>
          <w:sz w:val="22"/>
          <w:szCs w:val="22"/>
        </w:rPr>
        <w:t xml:space="preserve">, </w:t>
      </w:r>
      <w:r w:rsidR="001C69DE">
        <w:rPr>
          <w:rFonts w:ascii="Tahoma" w:hAnsi="Tahoma" w:cs="Tahoma"/>
          <w:bCs/>
          <w:sz w:val="22"/>
          <w:szCs w:val="22"/>
        </w:rPr>
        <w:t>al tenor de la siguiente:</w:t>
      </w:r>
    </w:p>
    <w:p w:rsidR="008B1887" w:rsidRPr="00B16609" w:rsidRDefault="008B1887" w:rsidP="008B1887">
      <w:pPr>
        <w:ind w:left="-8" w:right="34" w:firstLine="0"/>
        <w:rPr>
          <w:rFonts w:ascii="Arial" w:hAnsi="Arial" w:cs="Arial"/>
        </w:rPr>
      </w:pPr>
    </w:p>
    <w:p w:rsidR="00A31256" w:rsidRPr="00C33CFE" w:rsidRDefault="001C69DE" w:rsidP="001C69DE">
      <w:pPr>
        <w:pStyle w:val="nota-justify"/>
        <w:jc w:val="center"/>
        <w:rPr>
          <w:rFonts w:ascii="Tahoma" w:hAnsi="Tahoma" w:cs="Tahoma"/>
          <w:b/>
        </w:rPr>
      </w:pPr>
      <w:r>
        <w:rPr>
          <w:rFonts w:ascii="Tahoma" w:hAnsi="Tahoma" w:cs="Tahoma"/>
          <w:b/>
        </w:rPr>
        <w:t>E</w:t>
      </w:r>
      <w:r w:rsidR="00A31256" w:rsidRPr="00C33CFE">
        <w:rPr>
          <w:rFonts w:ascii="Tahoma" w:hAnsi="Tahoma" w:cs="Tahoma"/>
          <w:b/>
        </w:rPr>
        <w:t>XPOSICIÓN DE MOTIVOS</w:t>
      </w:r>
    </w:p>
    <w:p w:rsidR="00A31256" w:rsidRPr="00C33CFE" w:rsidRDefault="00A31256" w:rsidP="00A31256">
      <w:pPr>
        <w:pStyle w:val="nota-justify"/>
        <w:jc w:val="center"/>
        <w:rPr>
          <w:rFonts w:ascii="Tahoma" w:hAnsi="Tahoma" w:cs="Tahoma"/>
          <w:b/>
        </w:rPr>
      </w:pPr>
    </w:p>
    <w:p w:rsidR="00273928" w:rsidRPr="00C33CFE" w:rsidRDefault="00273928" w:rsidP="00092525">
      <w:pPr>
        <w:pStyle w:val="nota-justify"/>
        <w:jc w:val="both"/>
        <w:rPr>
          <w:rFonts w:ascii="Tahoma" w:hAnsi="Tahoma" w:cs="Tahoma"/>
        </w:rPr>
      </w:pPr>
      <w:r w:rsidRPr="00C33CFE">
        <w:rPr>
          <w:rFonts w:ascii="Tahoma" w:hAnsi="Tahoma" w:cs="Tahoma"/>
        </w:rPr>
        <w:t>El déficit de vivienda de interés social y de nivel medio en México constituye uno de los desafíos más complejos y persistentes en materia de desarrollo urbano y bienestar social. A pesar de los avances registrados en la construcción de nuevas unidades habitacionales, en la diversificación de esquemas de financiamiento y en la implementación de programas públicos orientados a atender esta necesidad, el rezago continúa siendo significativo. Millones de familias, particularmente aquellas pertenecientes a los sectores de ingresos bajos y medios, enfrentan dificultades para acceder a una vivienda digna, adecuada y asequible.</w:t>
      </w:r>
    </w:p>
    <w:p w:rsidR="00273928" w:rsidRPr="00C33CFE" w:rsidRDefault="00273928" w:rsidP="00092525">
      <w:pPr>
        <w:pStyle w:val="nota-justify"/>
        <w:jc w:val="both"/>
        <w:rPr>
          <w:rFonts w:ascii="Tahoma" w:hAnsi="Tahoma" w:cs="Tahoma"/>
        </w:rPr>
      </w:pPr>
      <w:r w:rsidRPr="00C33CFE">
        <w:rPr>
          <w:rFonts w:ascii="Tahoma" w:hAnsi="Tahoma" w:cs="Tahoma"/>
        </w:rPr>
        <w:t xml:space="preserve">Este fenómeno no solo refleja una insuficiencia en la oferta de vivienda, sino también la existencia de barreras estructurales relacionadas con la distribución del suelo </w:t>
      </w:r>
      <w:r w:rsidRPr="00C33CFE">
        <w:rPr>
          <w:rFonts w:ascii="Tahoma" w:hAnsi="Tahoma" w:cs="Tahoma"/>
        </w:rPr>
        <w:lastRenderedPageBreak/>
        <w:t>urbano, la planeación territorial, la capacidad de pago de los hogares y la eficacia de las políticas públicas. En consecuencia, el déficit habitacional se convierte en un factor que perpetúa la desigualdad social y limita las oportunidades de desarrollo económico y humano en el país.</w:t>
      </w:r>
    </w:p>
    <w:p w:rsidR="00273928" w:rsidRPr="00C33CFE" w:rsidRDefault="00A31256" w:rsidP="00092525">
      <w:pPr>
        <w:pStyle w:val="nota-justify"/>
        <w:jc w:val="both"/>
        <w:rPr>
          <w:rFonts w:ascii="Tahoma" w:hAnsi="Tahoma" w:cs="Tahoma"/>
        </w:rPr>
      </w:pPr>
      <w:r w:rsidRPr="00C33CFE">
        <w:rPr>
          <w:rFonts w:ascii="Tahoma" w:hAnsi="Tahoma" w:cs="Tahoma"/>
        </w:rPr>
        <w:t>La carencia</w:t>
      </w:r>
      <w:r w:rsidR="00273928" w:rsidRPr="00C33CFE">
        <w:rPr>
          <w:rFonts w:ascii="Tahoma" w:hAnsi="Tahoma" w:cs="Tahoma"/>
        </w:rPr>
        <w:t xml:space="preserve"> de vivienda en Yucatán, particularmente en los segmentos de clase baja y media-baja, constituye un problema estructural de creciente relevancia para el desarrollo social y económico del estado. Este fenómeno se caracteriza por un marcado rezago en la disponibilidad de vivienda social, en contraste con una oferta abundante y en expansión en el mercado residencial y de alto valor.</w:t>
      </w:r>
    </w:p>
    <w:p w:rsidR="00273928" w:rsidRPr="00C33CFE" w:rsidRDefault="00273928" w:rsidP="00092525">
      <w:pPr>
        <w:pStyle w:val="nota-justify"/>
        <w:jc w:val="both"/>
        <w:rPr>
          <w:rFonts w:ascii="Tahoma" w:hAnsi="Tahoma" w:cs="Tahoma"/>
        </w:rPr>
      </w:pPr>
      <w:r w:rsidRPr="00C33CFE">
        <w:rPr>
          <w:rFonts w:ascii="Tahoma" w:hAnsi="Tahoma" w:cs="Tahoma"/>
        </w:rPr>
        <w:t>A inicios de 2026, la situación se ha intensificado debido al incremento sostenido en el valor de los inmuebles, lo que ha colocado a Yucatán dentro de los tres primeros lugares a nivel nacional en plusvalía. Este aumento, si bien refleja dinamismo en el sector inmobiliario y atractivo para la inversión, genera al mismo tiempo una barrera significativa para los trabajadores de menores ingresos, quienes enfrentan crecientes dificultades para acceder a una vivienda digna y asequible.</w:t>
      </w:r>
    </w:p>
    <w:p w:rsidR="00273928" w:rsidRPr="00C33CFE" w:rsidRDefault="00273928" w:rsidP="00092525">
      <w:pPr>
        <w:pStyle w:val="nota-justify"/>
        <w:jc w:val="both"/>
        <w:rPr>
          <w:rFonts w:ascii="Tahoma" w:hAnsi="Tahoma" w:cs="Tahoma"/>
        </w:rPr>
      </w:pPr>
      <w:r w:rsidRPr="00C33CFE">
        <w:rPr>
          <w:rFonts w:ascii="Tahoma" w:hAnsi="Tahoma" w:cs="Tahoma"/>
        </w:rPr>
        <w:t>El desequilibrio entre la oferta y la demanda en los distintos segmentos del mercado inmobiliario evidencia la necesidad de políticas públicas más eficaces y de estrategias integrales que promuevan la construcción de vivienda social, el acceso a financiamiento accesible y la regulación del crecimiento urbano. De no atenderse, este rezago habitacional puede profundizar las brechas de desigualdad y limitar las oportunidades de desarrollo para amplios sectores de la población yucateca.</w:t>
      </w:r>
    </w:p>
    <w:p w:rsidR="00273928" w:rsidRPr="00C33CFE" w:rsidRDefault="00273928" w:rsidP="00092525">
      <w:pPr>
        <w:pStyle w:val="NormalWeb"/>
        <w:jc w:val="both"/>
        <w:rPr>
          <w:rFonts w:ascii="Tahoma" w:hAnsi="Tahoma" w:cs="Tahoma"/>
        </w:rPr>
      </w:pPr>
      <w:r w:rsidRPr="00C33CFE">
        <w:rPr>
          <w:rFonts w:ascii="Tahoma" w:hAnsi="Tahoma" w:cs="Tahoma"/>
        </w:rPr>
        <w:t xml:space="preserve">La insuficiencia de vivienda en México constituye un problema estructural que impacta directamente en el acceso a una vivienda digna y asequible. De acuerdo con </w:t>
      </w:r>
      <w:r w:rsidR="00092525" w:rsidRPr="00C33CFE">
        <w:rPr>
          <w:rFonts w:ascii="Tahoma" w:hAnsi="Tahoma" w:cs="Tahoma"/>
        </w:rPr>
        <w:t xml:space="preserve">estimaciones oficiales, el país enfrenta un déficit cercano a los </w:t>
      </w:r>
      <w:r w:rsidR="00092525" w:rsidRPr="00C33CFE">
        <w:rPr>
          <w:rStyle w:val="Textoennegrita"/>
          <w:rFonts w:ascii="Tahoma" w:eastAsiaTheme="majorEastAsia" w:hAnsi="Tahoma" w:cs="Tahoma"/>
          <w:b w:val="0"/>
        </w:rPr>
        <w:t>9 millones de viviendas</w:t>
      </w:r>
      <w:r w:rsidR="00092525" w:rsidRPr="00C33CFE">
        <w:rPr>
          <w:rFonts w:ascii="Tahoma" w:hAnsi="Tahoma" w:cs="Tahoma"/>
          <w:b/>
        </w:rPr>
        <w:t>,</w:t>
      </w:r>
      <w:r w:rsidR="00092525" w:rsidRPr="00C33CFE">
        <w:rPr>
          <w:rFonts w:ascii="Tahoma" w:hAnsi="Tahoma" w:cs="Tahoma"/>
        </w:rPr>
        <w:t xml:space="preserve"> cifra que refleja tanto la falta de construcción al ritmo requerido como </w:t>
      </w:r>
      <w:r w:rsidRPr="00C33CFE">
        <w:rPr>
          <w:rFonts w:ascii="Tahoma" w:hAnsi="Tahoma" w:cs="Tahoma"/>
        </w:rPr>
        <w:t>las limitaciones en el acceso a financiamiento para los sectores de menores ingresos .</w:t>
      </w:r>
    </w:p>
    <w:p w:rsidR="00273928" w:rsidRPr="00C33CFE" w:rsidRDefault="00273928" w:rsidP="00092525">
      <w:pPr>
        <w:pStyle w:val="NormalWeb"/>
        <w:jc w:val="both"/>
        <w:rPr>
          <w:rFonts w:ascii="Tahoma" w:hAnsi="Tahoma" w:cs="Tahoma"/>
        </w:rPr>
      </w:pPr>
      <w:r w:rsidRPr="00C33CFE">
        <w:rPr>
          <w:rFonts w:ascii="Tahoma" w:hAnsi="Tahoma" w:cs="Tahoma"/>
        </w:rPr>
        <w:t xml:space="preserve">En el caso de </w:t>
      </w:r>
      <w:r w:rsidRPr="00C33CFE">
        <w:rPr>
          <w:rStyle w:val="Textoennegrita"/>
          <w:rFonts w:ascii="Tahoma" w:eastAsiaTheme="majorEastAsia" w:hAnsi="Tahoma" w:cs="Tahoma"/>
          <w:b w:val="0"/>
        </w:rPr>
        <w:t>Yucatán</w:t>
      </w:r>
      <w:r w:rsidRPr="00C33CFE">
        <w:rPr>
          <w:rFonts w:ascii="Tahoma" w:hAnsi="Tahoma" w:cs="Tahoma"/>
        </w:rPr>
        <w:t xml:space="preserve">, la problemática se manifiesta con particular intensidad. El salario promedio de la población trabajadora resulta insuficiente para cubrir el costo de alquiler de una casa-habitación, lo que ha derivado en un incremento sostenido de las rentas. Este fenómeno se explica por la combinación de una oferta limitada de vivienda social y una alta demanda en zonas urbanas estratégicas, especialmente en la ciudad de Mérida y su área </w:t>
      </w:r>
      <w:r w:rsidR="00092525" w:rsidRPr="00C33CFE">
        <w:rPr>
          <w:rFonts w:ascii="Tahoma" w:hAnsi="Tahoma" w:cs="Tahoma"/>
        </w:rPr>
        <w:t>metropolitana.</w:t>
      </w:r>
    </w:p>
    <w:p w:rsidR="00273928" w:rsidRPr="00C33CFE" w:rsidRDefault="00273928" w:rsidP="00092525">
      <w:pPr>
        <w:pStyle w:val="NormalWeb"/>
        <w:jc w:val="both"/>
        <w:rPr>
          <w:rFonts w:ascii="Tahoma" w:hAnsi="Tahoma" w:cs="Tahoma"/>
        </w:rPr>
      </w:pPr>
      <w:r w:rsidRPr="00C33CFE">
        <w:rPr>
          <w:rFonts w:ascii="Tahoma" w:hAnsi="Tahoma" w:cs="Tahoma"/>
        </w:rPr>
        <w:t xml:space="preserve">A nivel nacional, en octubre de 2025 la presidenta </w:t>
      </w:r>
      <w:r w:rsidRPr="00C33CFE">
        <w:rPr>
          <w:rStyle w:val="Textoennegrita"/>
          <w:rFonts w:ascii="Tahoma" w:eastAsiaTheme="majorEastAsia" w:hAnsi="Tahoma" w:cs="Tahoma"/>
          <w:b w:val="0"/>
        </w:rPr>
        <w:t>Claudia Sheinbaum Pardo</w:t>
      </w:r>
      <w:r w:rsidRPr="00C33CFE">
        <w:rPr>
          <w:rFonts w:ascii="Tahoma" w:hAnsi="Tahoma" w:cs="Tahoma"/>
        </w:rPr>
        <w:t xml:space="preserve"> anunció un programa de construcción de </w:t>
      </w:r>
      <w:r w:rsidRPr="00C33CFE">
        <w:rPr>
          <w:rStyle w:val="Textoennegrita"/>
          <w:rFonts w:ascii="Tahoma" w:eastAsiaTheme="majorEastAsia" w:hAnsi="Tahoma" w:cs="Tahoma"/>
          <w:b w:val="0"/>
        </w:rPr>
        <w:t>un millón de viviendas</w:t>
      </w:r>
      <w:r w:rsidRPr="00C33CFE">
        <w:rPr>
          <w:rFonts w:ascii="Tahoma" w:hAnsi="Tahoma" w:cs="Tahoma"/>
        </w:rPr>
        <w:t xml:space="preserve"> durante su administración. De estas, </w:t>
      </w:r>
      <w:r w:rsidRPr="00C33CFE">
        <w:rPr>
          <w:rStyle w:val="Textoennegrita"/>
          <w:rFonts w:ascii="Tahoma" w:eastAsiaTheme="majorEastAsia" w:hAnsi="Tahoma" w:cs="Tahoma"/>
        </w:rPr>
        <w:t>500 mil</w:t>
      </w:r>
      <w:r w:rsidRPr="00C33CFE">
        <w:rPr>
          <w:rFonts w:ascii="Tahoma" w:hAnsi="Tahoma" w:cs="Tahoma"/>
        </w:rPr>
        <w:t xml:space="preserve"> estarán a cargo del Instituto del Fondo Nacional de la Vivienda para los Trabajadores (</w:t>
      </w:r>
      <w:r w:rsidR="00A31256" w:rsidRPr="00C33CFE">
        <w:rPr>
          <w:rFonts w:ascii="Tahoma" w:hAnsi="Tahoma" w:cs="Tahoma"/>
        </w:rPr>
        <w:t>INFONAVIT</w:t>
      </w:r>
      <w:r w:rsidRPr="00C33CFE">
        <w:rPr>
          <w:rFonts w:ascii="Tahoma" w:hAnsi="Tahoma" w:cs="Tahoma"/>
        </w:rPr>
        <w:t xml:space="preserve">), mientras que la </w:t>
      </w:r>
      <w:r w:rsidRPr="00C33CFE">
        <w:rPr>
          <w:rStyle w:val="Textoennegrita"/>
          <w:rFonts w:ascii="Tahoma" w:eastAsiaTheme="majorEastAsia" w:hAnsi="Tahoma" w:cs="Tahoma"/>
          <w:b w:val="0"/>
        </w:rPr>
        <w:t xml:space="preserve">Comisión Nacional de Vivienda </w:t>
      </w:r>
      <w:r w:rsidR="00A31256" w:rsidRPr="00C33CFE">
        <w:rPr>
          <w:rStyle w:val="Textoennegrita"/>
          <w:rFonts w:ascii="Tahoma" w:eastAsiaTheme="majorEastAsia" w:hAnsi="Tahoma" w:cs="Tahoma"/>
          <w:b w:val="0"/>
        </w:rPr>
        <w:t>(CONAVI</w:t>
      </w:r>
      <w:r w:rsidRPr="00C33CFE">
        <w:rPr>
          <w:rStyle w:val="Textoennegrita"/>
          <w:rFonts w:ascii="Tahoma" w:eastAsiaTheme="majorEastAsia" w:hAnsi="Tahoma" w:cs="Tahoma"/>
          <w:b w:val="0"/>
        </w:rPr>
        <w:t>)</w:t>
      </w:r>
      <w:r w:rsidRPr="00C33CFE">
        <w:rPr>
          <w:rFonts w:ascii="Tahoma" w:hAnsi="Tahoma" w:cs="Tahoma"/>
        </w:rPr>
        <w:t xml:space="preserve"> edificará otras 500 mil destinadas a población no derechohabiente. La inversión prevista asciende a </w:t>
      </w:r>
      <w:r w:rsidRPr="00C33CFE">
        <w:rPr>
          <w:rStyle w:val="Textoennegrita"/>
          <w:rFonts w:ascii="Tahoma" w:eastAsiaTheme="majorEastAsia" w:hAnsi="Tahoma" w:cs="Tahoma"/>
          <w:b w:val="0"/>
        </w:rPr>
        <w:t>600 mil millones de pesos</w:t>
      </w:r>
      <w:r w:rsidRPr="00C33CFE">
        <w:rPr>
          <w:rFonts w:ascii="Tahoma" w:hAnsi="Tahoma" w:cs="Tahoma"/>
          <w:b/>
        </w:rPr>
        <w:t xml:space="preserve">, </w:t>
      </w:r>
      <w:r w:rsidRPr="00C33CFE">
        <w:rPr>
          <w:rFonts w:ascii="Tahoma" w:hAnsi="Tahoma" w:cs="Tahoma"/>
        </w:rPr>
        <w:t xml:space="preserve">con un inicio programado en 2026 mediante la construcción de </w:t>
      </w:r>
      <w:r w:rsidRPr="00C33CFE">
        <w:rPr>
          <w:rStyle w:val="Textoennegrita"/>
          <w:rFonts w:ascii="Tahoma" w:eastAsiaTheme="majorEastAsia" w:hAnsi="Tahoma" w:cs="Tahoma"/>
          <w:b w:val="0"/>
        </w:rPr>
        <w:t xml:space="preserve">165 mil </w:t>
      </w:r>
      <w:r w:rsidR="00A31256" w:rsidRPr="00C33CFE">
        <w:rPr>
          <w:rStyle w:val="Textoennegrita"/>
          <w:rFonts w:ascii="Tahoma" w:eastAsiaTheme="majorEastAsia" w:hAnsi="Tahoma" w:cs="Tahoma"/>
          <w:b w:val="0"/>
        </w:rPr>
        <w:t>inmuebles</w:t>
      </w:r>
      <w:r w:rsidR="00A31256" w:rsidRPr="00C33CFE">
        <w:rPr>
          <w:rFonts w:ascii="Tahoma" w:hAnsi="Tahoma" w:cs="Tahoma"/>
        </w:rPr>
        <w:t>.</w:t>
      </w:r>
    </w:p>
    <w:p w:rsidR="00273928" w:rsidRPr="00C33CFE" w:rsidRDefault="00273928" w:rsidP="00092525">
      <w:pPr>
        <w:pStyle w:val="NormalWeb"/>
        <w:jc w:val="both"/>
        <w:rPr>
          <w:rFonts w:ascii="Tahoma" w:hAnsi="Tahoma" w:cs="Tahoma"/>
        </w:rPr>
      </w:pPr>
      <w:r w:rsidRPr="00C33CFE">
        <w:rPr>
          <w:rFonts w:ascii="Tahoma" w:hAnsi="Tahoma" w:cs="Tahoma"/>
        </w:rPr>
        <w:t xml:space="preserve">En Yucatán, el contexto se agrava por el dinamismo del mercado inmobiliario: el estado se ha posicionado dentro de los tres primeros lugares a nivel nacional en </w:t>
      </w:r>
      <w:r w:rsidRPr="00C33CFE">
        <w:rPr>
          <w:rStyle w:val="Textoennegrita"/>
          <w:rFonts w:ascii="Tahoma" w:eastAsiaTheme="majorEastAsia" w:hAnsi="Tahoma" w:cs="Tahoma"/>
          <w:b w:val="0"/>
        </w:rPr>
        <w:t>plusvalía</w:t>
      </w:r>
      <w:r w:rsidRPr="00C33CFE">
        <w:rPr>
          <w:rFonts w:ascii="Tahoma" w:hAnsi="Tahoma" w:cs="Tahoma"/>
        </w:rPr>
        <w:t xml:space="preserve">, lo que refleja un fuerte atractivo para la inversión, pero al mismo tiempo incrementa las barreras de acceso para los sectores de ingresos bajos y </w:t>
      </w:r>
      <w:r w:rsidR="00A31256" w:rsidRPr="00C33CFE">
        <w:rPr>
          <w:rFonts w:ascii="Tahoma" w:hAnsi="Tahoma" w:cs="Tahoma"/>
        </w:rPr>
        <w:t>medios.</w:t>
      </w:r>
    </w:p>
    <w:p w:rsidR="00273928" w:rsidRPr="00C33CFE" w:rsidRDefault="00273928" w:rsidP="00092525">
      <w:pPr>
        <w:pStyle w:val="NormalWeb"/>
        <w:jc w:val="both"/>
        <w:rPr>
          <w:rFonts w:ascii="Tahoma" w:hAnsi="Tahoma" w:cs="Tahoma"/>
        </w:rPr>
      </w:pPr>
      <w:r w:rsidRPr="00C33CFE">
        <w:rPr>
          <w:rFonts w:ascii="Tahoma" w:hAnsi="Tahoma" w:cs="Tahoma"/>
        </w:rPr>
        <w:t>El déficit habitacional y el encarecimiento de las rentas en Yucatán son resultado de un desequilibrio estructural entre oferta y demanda, acentuado por el modelo económico vigente y la concentración de inversión en vivienda de alto valor. La implementación de programas federales de construcción de vivienda representa un avance significativo; sin embargo, para que tengan un impacto real en la reducción del rezago, será necesario articularlos con políticas estatales y municipales que garanticen acceso equitativo, financiamiento asequible y una planeación urbana sostenible.</w:t>
      </w:r>
    </w:p>
    <w:p w:rsidR="00273928" w:rsidRPr="00C33CFE" w:rsidRDefault="00273928" w:rsidP="00092525">
      <w:pPr>
        <w:pStyle w:val="NormalWeb"/>
        <w:jc w:val="both"/>
        <w:rPr>
          <w:rFonts w:ascii="Tahoma" w:hAnsi="Tahoma" w:cs="Tahoma"/>
        </w:rPr>
      </w:pPr>
      <w:r w:rsidRPr="00C33CFE">
        <w:rPr>
          <w:rFonts w:ascii="Tahoma" w:hAnsi="Tahoma" w:cs="Tahoma"/>
        </w:rPr>
        <w:t xml:space="preserve">Durante el año 2025, los precios de renta en Yucatán, particularmente en la ciudad de Mérida, han mostrado una tendencia sostenida al alza. Este comportamiento responde a factores estructurales como el crecimiento demográfico, la llegada de inversión inmobiliaria, el atractivo turístico y la percepción de seguridad que posicionan a Mérida como una de las ciudades más demandadas para vivir en </w:t>
      </w:r>
      <w:r w:rsidR="00A31256" w:rsidRPr="00C33CFE">
        <w:rPr>
          <w:rFonts w:ascii="Tahoma" w:hAnsi="Tahoma" w:cs="Tahoma"/>
        </w:rPr>
        <w:t>México.</w:t>
      </w:r>
    </w:p>
    <w:p w:rsidR="00273928" w:rsidRPr="00C33CFE" w:rsidRDefault="00273928" w:rsidP="00092525">
      <w:pPr>
        <w:pStyle w:val="NormalWeb"/>
        <w:jc w:val="both"/>
        <w:rPr>
          <w:rFonts w:ascii="Tahoma" w:hAnsi="Tahoma" w:cs="Tahoma"/>
        </w:rPr>
      </w:pPr>
      <w:r w:rsidRPr="00C33CFE">
        <w:rPr>
          <w:rFonts w:ascii="Tahoma" w:hAnsi="Tahoma" w:cs="Tahoma"/>
        </w:rPr>
        <w:t xml:space="preserve">Los costos de alquiler presentan variaciones significativas dependiendo de la ubicación, el nivel de exclusividad de la zona y las características de la propiedad, como si se encuentra amueblada o no. De acuerdo con estudios de mercado realizados en agosto de 2025, el </w:t>
      </w:r>
      <w:r w:rsidRPr="00C33CFE">
        <w:rPr>
          <w:rStyle w:val="Textoennegrita"/>
          <w:rFonts w:ascii="Tahoma" w:eastAsiaTheme="majorEastAsia" w:hAnsi="Tahoma" w:cs="Tahoma"/>
          <w:b w:val="0"/>
        </w:rPr>
        <w:t>norte de Mérida</w:t>
      </w:r>
      <w:r w:rsidRPr="00C33CFE">
        <w:rPr>
          <w:rFonts w:ascii="Tahoma" w:hAnsi="Tahoma" w:cs="Tahoma"/>
        </w:rPr>
        <w:t xml:space="preserve"> y el </w:t>
      </w:r>
      <w:r w:rsidRPr="00C33CFE">
        <w:rPr>
          <w:rStyle w:val="Textoennegrita"/>
          <w:rFonts w:ascii="Tahoma" w:eastAsiaTheme="majorEastAsia" w:hAnsi="Tahoma" w:cs="Tahoma"/>
          <w:b w:val="0"/>
        </w:rPr>
        <w:t>Centro Histórico</w:t>
      </w:r>
      <w:r w:rsidRPr="00C33CFE">
        <w:rPr>
          <w:rFonts w:ascii="Tahoma" w:hAnsi="Tahoma" w:cs="Tahoma"/>
        </w:rPr>
        <w:t xml:space="preserve"> se consolidan como las áreas más costosas, debido a su alta plusvalía y atractivo para inversionistas nacionales y extranjeros. En contraste, el </w:t>
      </w:r>
      <w:r w:rsidRPr="00C33CFE">
        <w:rPr>
          <w:rStyle w:val="Textoennegrita"/>
          <w:rFonts w:ascii="Tahoma" w:eastAsiaTheme="majorEastAsia" w:hAnsi="Tahoma" w:cs="Tahoma"/>
          <w:b w:val="0"/>
        </w:rPr>
        <w:t>sur de la ciudad</w:t>
      </w:r>
      <w:r w:rsidRPr="00C33CFE">
        <w:rPr>
          <w:rFonts w:ascii="Tahoma" w:hAnsi="Tahoma" w:cs="Tahoma"/>
        </w:rPr>
        <w:t xml:space="preserve"> y las zonas periféricas mantienen precios más accesibles, aunque con menor disponibilidad de servicios y </w:t>
      </w:r>
      <w:r w:rsidR="00A31256" w:rsidRPr="00C33CFE">
        <w:rPr>
          <w:rFonts w:ascii="Tahoma" w:hAnsi="Tahoma" w:cs="Tahoma"/>
        </w:rPr>
        <w:t>conectividad.</w:t>
      </w:r>
    </w:p>
    <w:p w:rsidR="00273928" w:rsidRPr="00C33CFE" w:rsidRDefault="00273928" w:rsidP="00092525">
      <w:pPr>
        <w:pStyle w:val="NormalWeb"/>
        <w:jc w:val="both"/>
        <w:rPr>
          <w:rFonts w:ascii="Tahoma" w:hAnsi="Tahoma" w:cs="Tahoma"/>
        </w:rPr>
      </w:pPr>
      <w:r w:rsidRPr="00C33CFE">
        <w:rPr>
          <w:rFonts w:ascii="Tahoma" w:hAnsi="Tahoma" w:cs="Tahoma"/>
        </w:rPr>
        <w:t>Este fenómeno refleja un proceso de segmentación socioeconómica del mercado inmobiliario local: mientras las zonas de alta demanda experimentan un encarecimiento acelerado, las áreas populares y periféricas se convierten en la única opción viable para sectores de ingresos bajos y medios. Según reportes sobre el costo de vida en Mérida, el incremento en las rentas ha superado el crecimiento promedio de los salarios, lo que genera una presión adicional sobre los hogares y limita su capacidad de acceso a vivienda digna.</w:t>
      </w:r>
    </w:p>
    <w:p w:rsidR="00A31256" w:rsidRPr="00C33CFE" w:rsidRDefault="00273928" w:rsidP="00092525">
      <w:pPr>
        <w:pStyle w:val="NormalWeb"/>
        <w:jc w:val="both"/>
        <w:rPr>
          <w:rFonts w:ascii="Tahoma" w:hAnsi="Tahoma" w:cs="Tahoma"/>
        </w:rPr>
      </w:pPr>
      <w:r w:rsidRPr="00C33CFE">
        <w:rPr>
          <w:rFonts w:ascii="Tahoma" w:hAnsi="Tahoma" w:cs="Tahoma"/>
        </w:rPr>
        <w:t>El encarecimiento de las rentas en Mérida durante 2025 evidencia un desequilibrio entre oferta y demanda, acentuado por la concentración de inversión en zonas de alta plusvalía. Este proceso plantea retos importantes para la planeación urbana y las políticas públicas de vivienda, que deberán atender no solo la construcción de nuevas unidades, sino también la regulación del mercado de alquiler y la promoción de alternativas habitacionales asequibles para la población local.</w:t>
      </w:r>
      <w:r w:rsidR="00A31256" w:rsidRPr="00C33CFE">
        <w:rPr>
          <w:rFonts w:ascii="Tahoma" w:hAnsi="Tahoma" w:cs="Tahoma"/>
        </w:rPr>
        <w:t xml:space="preserve"> </w:t>
      </w:r>
    </w:p>
    <w:p w:rsidR="00273928" w:rsidRPr="00C33CFE" w:rsidRDefault="00A31256" w:rsidP="00092525">
      <w:pPr>
        <w:pStyle w:val="NormalWeb"/>
        <w:jc w:val="both"/>
        <w:rPr>
          <w:rFonts w:ascii="Tahoma" w:hAnsi="Tahoma" w:cs="Tahoma"/>
        </w:rPr>
      </w:pPr>
      <w:r w:rsidRPr="00C33CFE">
        <w:rPr>
          <w:rFonts w:ascii="Tahoma" w:hAnsi="Tahoma" w:cs="Tahoma"/>
        </w:rPr>
        <w:t>Los rangos de precios de renta en distintas zonas de Mérida y municipios relevantes de Yucatán (Kanasín, Progreso, Valladolid y Tizimín), con base en información de portales inmobiliarios y reportes de mercado 2025</w:t>
      </w:r>
      <w:r w:rsidRPr="00C33CFE">
        <w:rPr>
          <w:rStyle w:val="Refdenotaalpie"/>
          <w:rFonts w:ascii="Tahoma" w:hAnsi="Tahoma" w:cs="Tahoma"/>
        </w:rPr>
        <w:footnoteReference w:id="1"/>
      </w:r>
    </w:p>
    <w:p w:rsidR="00BA0814" w:rsidRPr="00C33CFE" w:rsidRDefault="00BA0814" w:rsidP="00092525">
      <w:pPr>
        <w:rPr>
          <w:rFonts w:ascii="Tahoma" w:hAnsi="Tahoma" w:cs="Tahoma"/>
        </w:rPr>
      </w:pPr>
    </w:p>
    <w:p w:rsidR="00BA0814" w:rsidRPr="00C33CFE" w:rsidRDefault="00BA0814" w:rsidP="00092525">
      <w:pPr>
        <w:pStyle w:val="Ttulo3"/>
        <w:rPr>
          <w:rFonts w:ascii="Tahoma" w:hAnsi="Tahoma" w:cs="Tahoma"/>
          <w:color w:val="auto"/>
        </w:rPr>
      </w:pPr>
      <w:r w:rsidRPr="00C33CFE">
        <w:rPr>
          <w:rFonts w:ascii="Tahoma" w:hAnsi="Tahoma" w:cs="Tahoma"/>
          <w:color w:val="auto"/>
        </w:rPr>
        <w:t>Comparativo de precios de renta en Yucatán (2025)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2103"/>
        <w:gridCol w:w="4178"/>
      </w:tblGrid>
      <w:tr w:rsidR="00C33CFE" w:rsidRPr="00C33CFE" w:rsidTr="000174B1">
        <w:trPr>
          <w:tblHeader/>
          <w:tblCellSpacing w:w="15" w:type="dxa"/>
        </w:trPr>
        <w:tc>
          <w:tcPr>
            <w:tcW w:w="2502" w:type="dxa"/>
            <w:vAlign w:val="center"/>
            <w:hideMark/>
          </w:tcPr>
          <w:p w:rsidR="00BA0814" w:rsidRPr="00C33CFE" w:rsidRDefault="00BA0814" w:rsidP="00092525">
            <w:pPr>
              <w:ind w:left="366" w:right="381" w:firstLine="0"/>
              <w:jc w:val="left"/>
              <w:rPr>
                <w:rFonts w:ascii="Tahoma" w:hAnsi="Tahoma" w:cs="Tahoma"/>
                <w:b/>
                <w:bCs/>
                <w:sz w:val="16"/>
                <w:szCs w:val="16"/>
              </w:rPr>
            </w:pPr>
            <w:r w:rsidRPr="00C33CFE">
              <w:rPr>
                <w:rFonts w:ascii="Tahoma" w:hAnsi="Tahoma" w:cs="Tahoma"/>
                <w:b/>
                <w:bCs/>
                <w:sz w:val="16"/>
                <w:szCs w:val="16"/>
              </w:rPr>
              <w:t>Zona / Municipio</w:t>
            </w:r>
          </w:p>
        </w:tc>
        <w:tc>
          <w:tcPr>
            <w:tcW w:w="2073" w:type="dxa"/>
            <w:vAlign w:val="center"/>
            <w:hideMark/>
          </w:tcPr>
          <w:p w:rsidR="00BA0814" w:rsidRPr="00C33CFE" w:rsidRDefault="00BA0814" w:rsidP="00092525">
            <w:pPr>
              <w:ind w:left="177" w:hanging="26"/>
              <w:jc w:val="left"/>
              <w:rPr>
                <w:rFonts w:ascii="Tahoma" w:hAnsi="Tahoma" w:cs="Tahoma"/>
                <w:b/>
                <w:bCs/>
                <w:sz w:val="16"/>
                <w:szCs w:val="16"/>
              </w:rPr>
            </w:pPr>
            <w:r w:rsidRPr="00C33CFE">
              <w:rPr>
                <w:rFonts w:ascii="Tahoma" w:hAnsi="Tahoma" w:cs="Tahoma"/>
                <w:b/>
                <w:bCs/>
                <w:sz w:val="16"/>
                <w:szCs w:val="16"/>
              </w:rPr>
              <w:t>Rango de precios mensuales (MXN)</w:t>
            </w:r>
          </w:p>
        </w:tc>
        <w:tc>
          <w:tcPr>
            <w:tcW w:w="0" w:type="auto"/>
            <w:vAlign w:val="center"/>
            <w:hideMark/>
          </w:tcPr>
          <w:p w:rsidR="00BA0814" w:rsidRPr="00C33CFE" w:rsidRDefault="00BA0814" w:rsidP="00092525">
            <w:pPr>
              <w:ind w:left="182" w:hanging="30"/>
              <w:jc w:val="left"/>
              <w:rPr>
                <w:rFonts w:ascii="Tahoma" w:hAnsi="Tahoma" w:cs="Tahoma"/>
                <w:b/>
                <w:bCs/>
                <w:sz w:val="16"/>
                <w:szCs w:val="16"/>
              </w:rPr>
            </w:pPr>
            <w:r w:rsidRPr="00C33CFE">
              <w:rPr>
                <w:rFonts w:ascii="Tahoma" w:hAnsi="Tahoma" w:cs="Tahoma"/>
                <w:b/>
                <w:bCs/>
                <w:sz w:val="16"/>
                <w:szCs w:val="16"/>
              </w:rPr>
              <w:t>Características principales</w:t>
            </w:r>
          </w:p>
        </w:tc>
      </w:tr>
      <w:tr w:rsidR="00C33CFE" w:rsidRPr="00C33CFE" w:rsidTr="000174B1">
        <w:trPr>
          <w:tblCellSpacing w:w="15" w:type="dxa"/>
        </w:trPr>
        <w:tc>
          <w:tcPr>
            <w:tcW w:w="2502" w:type="dxa"/>
            <w:vAlign w:val="center"/>
            <w:hideMark/>
          </w:tcPr>
          <w:p w:rsidR="00BA0814" w:rsidRPr="00C33CFE" w:rsidRDefault="00BA0814" w:rsidP="00092525">
            <w:pPr>
              <w:ind w:left="366" w:right="381" w:firstLine="0"/>
              <w:jc w:val="left"/>
              <w:rPr>
                <w:rFonts w:ascii="Tahoma" w:hAnsi="Tahoma" w:cs="Tahoma"/>
                <w:sz w:val="16"/>
                <w:szCs w:val="16"/>
              </w:rPr>
            </w:pPr>
            <w:r w:rsidRPr="00C33CFE">
              <w:rPr>
                <w:rStyle w:val="Textoennegrita"/>
                <w:rFonts w:ascii="Tahoma" w:hAnsi="Tahoma" w:cs="Tahoma"/>
                <w:sz w:val="16"/>
                <w:szCs w:val="16"/>
              </w:rPr>
              <w:t>Mérida – Norte</w:t>
            </w:r>
          </w:p>
        </w:tc>
        <w:tc>
          <w:tcPr>
            <w:tcW w:w="2073" w:type="dxa"/>
            <w:vAlign w:val="center"/>
            <w:hideMark/>
          </w:tcPr>
          <w:p w:rsidR="00BA0814" w:rsidRPr="00C33CFE" w:rsidRDefault="00BA0814" w:rsidP="00092525">
            <w:pPr>
              <w:ind w:left="177" w:hanging="26"/>
              <w:jc w:val="left"/>
              <w:rPr>
                <w:rFonts w:ascii="Tahoma" w:hAnsi="Tahoma" w:cs="Tahoma"/>
                <w:sz w:val="16"/>
                <w:szCs w:val="16"/>
              </w:rPr>
            </w:pPr>
            <w:r w:rsidRPr="00C33CFE">
              <w:rPr>
                <w:rFonts w:ascii="Tahoma" w:hAnsi="Tahoma" w:cs="Tahoma"/>
                <w:sz w:val="16"/>
                <w:szCs w:val="16"/>
              </w:rPr>
              <w:t>$12,000 – $18,000</w:t>
            </w:r>
          </w:p>
        </w:tc>
        <w:tc>
          <w:tcPr>
            <w:tcW w:w="0" w:type="auto"/>
            <w:vAlign w:val="center"/>
            <w:hideMark/>
          </w:tcPr>
          <w:p w:rsidR="00BA0814" w:rsidRPr="00C33CFE" w:rsidRDefault="00BA0814" w:rsidP="00092525">
            <w:pPr>
              <w:ind w:left="182" w:right="131" w:hanging="30"/>
              <w:jc w:val="left"/>
              <w:rPr>
                <w:rFonts w:ascii="Tahoma" w:hAnsi="Tahoma" w:cs="Tahoma"/>
                <w:sz w:val="16"/>
                <w:szCs w:val="16"/>
              </w:rPr>
            </w:pPr>
            <w:r w:rsidRPr="00C33CFE">
              <w:rPr>
                <w:rFonts w:ascii="Tahoma" w:hAnsi="Tahoma" w:cs="Tahoma"/>
                <w:sz w:val="16"/>
                <w:szCs w:val="16"/>
              </w:rPr>
              <w:t>Alta plusvalía, zonas exclusivas (Montebello, Altabrisa, Santa Gertrudis Copó), propiedades amuebladas y con amenidades.</w:t>
            </w:r>
          </w:p>
        </w:tc>
      </w:tr>
      <w:tr w:rsidR="00C33CFE" w:rsidRPr="00C33CFE" w:rsidTr="000174B1">
        <w:trPr>
          <w:tblCellSpacing w:w="15" w:type="dxa"/>
        </w:trPr>
        <w:tc>
          <w:tcPr>
            <w:tcW w:w="2502" w:type="dxa"/>
            <w:vAlign w:val="center"/>
            <w:hideMark/>
          </w:tcPr>
          <w:p w:rsidR="00BA0814" w:rsidRPr="00C33CFE" w:rsidRDefault="00BA0814" w:rsidP="00092525">
            <w:pPr>
              <w:ind w:left="366" w:right="381" w:firstLine="0"/>
              <w:jc w:val="left"/>
              <w:rPr>
                <w:rFonts w:ascii="Tahoma" w:hAnsi="Tahoma" w:cs="Tahoma"/>
                <w:sz w:val="16"/>
                <w:szCs w:val="16"/>
              </w:rPr>
            </w:pPr>
            <w:r w:rsidRPr="00C33CFE">
              <w:rPr>
                <w:rStyle w:val="Textoennegrita"/>
                <w:rFonts w:ascii="Tahoma" w:hAnsi="Tahoma" w:cs="Tahoma"/>
                <w:sz w:val="16"/>
                <w:szCs w:val="16"/>
              </w:rPr>
              <w:t>Mérida – Centro Histórico</w:t>
            </w:r>
          </w:p>
        </w:tc>
        <w:tc>
          <w:tcPr>
            <w:tcW w:w="2073" w:type="dxa"/>
            <w:vAlign w:val="center"/>
            <w:hideMark/>
          </w:tcPr>
          <w:p w:rsidR="00BA0814" w:rsidRPr="00C33CFE" w:rsidRDefault="00BA0814" w:rsidP="00092525">
            <w:pPr>
              <w:ind w:left="177" w:hanging="26"/>
              <w:jc w:val="left"/>
              <w:rPr>
                <w:rFonts w:ascii="Tahoma" w:hAnsi="Tahoma" w:cs="Tahoma"/>
                <w:sz w:val="16"/>
                <w:szCs w:val="16"/>
              </w:rPr>
            </w:pPr>
            <w:r w:rsidRPr="00C33CFE">
              <w:rPr>
                <w:rFonts w:ascii="Tahoma" w:hAnsi="Tahoma" w:cs="Tahoma"/>
                <w:sz w:val="16"/>
                <w:szCs w:val="16"/>
              </w:rPr>
              <w:t>$10,000 – $16,000</w:t>
            </w:r>
          </w:p>
        </w:tc>
        <w:tc>
          <w:tcPr>
            <w:tcW w:w="0" w:type="auto"/>
            <w:vAlign w:val="center"/>
            <w:hideMark/>
          </w:tcPr>
          <w:p w:rsidR="00BA0814" w:rsidRPr="00C33CFE" w:rsidRDefault="00BA0814" w:rsidP="00092525">
            <w:pPr>
              <w:ind w:left="182" w:hanging="30"/>
              <w:jc w:val="left"/>
              <w:rPr>
                <w:rFonts w:ascii="Tahoma" w:hAnsi="Tahoma" w:cs="Tahoma"/>
                <w:sz w:val="16"/>
                <w:szCs w:val="16"/>
              </w:rPr>
            </w:pPr>
            <w:r w:rsidRPr="00C33CFE">
              <w:rPr>
                <w:rFonts w:ascii="Tahoma" w:hAnsi="Tahoma" w:cs="Tahoma"/>
                <w:sz w:val="16"/>
                <w:szCs w:val="16"/>
              </w:rPr>
              <w:t>Casas coloniales restauradas, atractivo turístico, demanda de extranjeros, oferta limitada.</w:t>
            </w:r>
          </w:p>
        </w:tc>
      </w:tr>
      <w:tr w:rsidR="00C33CFE" w:rsidRPr="00C33CFE" w:rsidTr="000174B1">
        <w:trPr>
          <w:tblCellSpacing w:w="15" w:type="dxa"/>
        </w:trPr>
        <w:tc>
          <w:tcPr>
            <w:tcW w:w="2502" w:type="dxa"/>
            <w:vAlign w:val="center"/>
            <w:hideMark/>
          </w:tcPr>
          <w:p w:rsidR="00BA0814" w:rsidRPr="00C33CFE" w:rsidRDefault="00BA0814" w:rsidP="00092525">
            <w:pPr>
              <w:ind w:left="366" w:right="381" w:firstLine="0"/>
              <w:jc w:val="left"/>
              <w:rPr>
                <w:rFonts w:ascii="Tahoma" w:hAnsi="Tahoma" w:cs="Tahoma"/>
                <w:sz w:val="16"/>
                <w:szCs w:val="16"/>
              </w:rPr>
            </w:pPr>
            <w:r w:rsidRPr="00C33CFE">
              <w:rPr>
                <w:rStyle w:val="Textoennegrita"/>
                <w:rFonts w:ascii="Tahoma" w:hAnsi="Tahoma" w:cs="Tahoma"/>
                <w:sz w:val="16"/>
                <w:szCs w:val="16"/>
              </w:rPr>
              <w:t>Mérida – Sur y periferia</w:t>
            </w:r>
          </w:p>
        </w:tc>
        <w:tc>
          <w:tcPr>
            <w:tcW w:w="2073" w:type="dxa"/>
            <w:vAlign w:val="center"/>
            <w:hideMark/>
          </w:tcPr>
          <w:p w:rsidR="00BA0814" w:rsidRPr="00C33CFE" w:rsidRDefault="00BA0814" w:rsidP="00092525">
            <w:pPr>
              <w:ind w:left="177" w:hanging="26"/>
              <w:jc w:val="left"/>
              <w:rPr>
                <w:rFonts w:ascii="Tahoma" w:hAnsi="Tahoma" w:cs="Tahoma"/>
                <w:sz w:val="16"/>
                <w:szCs w:val="16"/>
              </w:rPr>
            </w:pPr>
            <w:r w:rsidRPr="00C33CFE">
              <w:rPr>
                <w:rFonts w:ascii="Tahoma" w:hAnsi="Tahoma" w:cs="Tahoma"/>
                <w:sz w:val="16"/>
                <w:szCs w:val="16"/>
              </w:rPr>
              <w:t>$5,000 – $8,000</w:t>
            </w:r>
          </w:p>
        </w:tc>
        <w:tc>
          <w:tcPr>
            <w:tcW w:w="0" w:type="auto"/>
            <w:vAlign w:val="center"/>
            <w:hideMark/>
          </w:tcPr>
          <w:p w:rsidR="00BA0814" w:rsidRPr="00C33CFE" w:rsidRDefault="00BA0814" w:rsidP="00092525">
            <w:pPr>
              <w:ind w:left="182" w:hanging="30"/>
              <w:jc w:val="left"/>
              <w:rPr>
                <w:rFonts w:ascii="Tahoma" w:hAnsi="Tahoma" w:cs="Tahoma"/>
                <w:sz w:val="16"/>
                <w:szCs w:val="16"/>
              </w:rPr>
            </w:pPr>
            <w:r w:rsidRPr="00C33CFE">
              <w:rPr>
                <w:rFonts w:ascii="Tahoma" w:hAnsi="Tahoma" w:cs="Tahoma"/>
                <w:sz w:val="16"/>
                <w:szCs w:val="16"/>
              </w:rPr>
              <w:t>Opciones más accesibles, menor conectividad y servicios, viviendas básicas o en fraccionamientos populares.</w:t>
            </w:r>
          </w:p>
        </w:tc>
      </w:tr>
      <w:tr w:rsidR="00C33CFE" w:rsidRPr="00C33CFE" w:rsidTr="000174B1">
        <w:trPr>
          <w:tblCellSpacing w:w="15" w:type="dxa"/>
        </w:trPr>
        <w:tc>
          <w:tcPr>
            <w:tcW w:w="2502" w:type="dxa"/>
            <w:vAlign w:val="center"/>
            <w:hideMark/>
          </w:tcPr>
          <w:p w:rsidR="00BA0814" w:rsidRPr="00C33CFE" w:rsidRDefault="00BA0814" w:rsidP="00092525">
            <w:pPr>
              <w:ind w:left="366" w:right="381" w:firstLine="0"/>
              <w:jc w:val="left"/>
              <w:rPr>
                <w:rFonts w:ascii="Tahoma" w:hAnsi="Tahoma" w:cs="Tahoma"/>
                <w:sz w:val="16"/>
                <w:szCs w:val="16"/>
              </w:rPr>
            </w:pPr>
            <w:r w:rsidRPr="00C33CFE">
              <w:rPr>
                <w:rStyle w:val="Textoennegrita"/>
                <w:rFonts w:ascii="Tahoma" w:hAnsi="Tahoma" w:cs="Tahoma"/>
                <w:sz w:val="16"/>
                <w:szCs w:val="16"/>
              </w:rPr>
              <w:t>Kanasín</w:t>
            </w:r>
          </w:p>
        </w:tc>
        <w:tc>
          <w:tcPr>
            <w:tcW w:w="2073" w:type="dxa"/>
            <w:vAlign w:val="center"/>
            <w:hideMark/>
          </w:tcPr>
          <w:p w:rsidR="00BA0814" w:rsidRPr="00C33CFE" w:rsidRDefault="00BA0814" w:rsidP="00092525">
            <w:pPr>
              <w:ind w:left="177" w:hanging="26"/>
              <w:jc w:val="left"/>
              <w:rPr>
                <w:rFonts w:ascii="Tahoma" w:hAnsi="Tahoma" w:cs="Tahoma"/>
                <w:sz w:val="16"/>
                <w:szCs w:val="16"/>
              </w:rPr>
            </w:pPr>
            <w:r w:rsidRPr="00C33CFE">
              <w:rPr>
                <w:rFonts w:ascii="Tahoma" w:hAnsi="Tahoma" w:cs="Tahoma"/>
                <w:sz w:val="16"/>
                <w:szCs w:val="16"/>
              </w:rPr>
              <w:t>$5,000 – $7,000</w:t>
            </w:r>
          </w:p>
        </w:tc>
        <w:tc>
          <w:tcPr>
            <w:tcW w:w="0" w:type="auto"/>
            <w:vAlign w:val="center"/>
            <w:hideMark/>
          </w:tcPr>
          <w:p w:rsidR="00BA0814" w:rsidRPr="00C33CFE" w:rsidRDefault="00BA0814" w:rsidP="00092525">
            <w:pPr>
              <w:ind w:left="182" w:hanging="30"/>
              <w:jc w:val="left"/>
              <w:rPr>
                <w:rFonts w:ascii="Tahoma" w:hAnsi="Tahoma" w:cs="Tahoma"/>
                <w:sz w:val="16"/>
                <w:szCs w:val="16"/>
              </w:rPr>
            </w:pPr>
            <w:r w:rsidRPr="00C33CFE">
              <w:rPr>
                <w:rFonts w:ascii="Tahoma" w:hAnsi="Tahoma" w:cs="Tahoma"/>
                <w:sz w:val="16"/>
                <w:szCs w:val="16"/>
              </w:rPr>
              <w:t>Vivienda económica en fraccionamientos como Cielo Alto y Las Palmas; creciente demanda por cercanía a Mérida.</w:t>
            </w:r>
          </w:p>
        </w:tc>
      </w:tr>
      <w:tr w:rsidR="00C33CFE" w:rsidRPr="00C33CFE" w:rsidTr="000174B1">
        <w:trPr>
          <w:tblCellSpacing w:w="15" w:type="dxa"/>
        </w:trPr>
        <w:tc>
          <w:tcPr>
            <w:tcW w:w="2502" w:type="dxa"/>
            <w:vAlign w:val="center"/>
            <w:hideMark/>
          </w:tcPr>
          <w:p w:rsidR="00BA0814" w:rsidRPr="00C33CFE" w:rsidRDefault="00BA0814" w:rsidP="00092525">
            <w:pPr>
              <w:ind w:left="366" w:right="381" w:firstLine="0"/>
              <w:jc w:val="left"/>
              <w:rPr>
                <w:rFonts w:ascii="Tahoma" w:hAnsi="Tahoma" w:cs="Tahoma"/>
                <w:sz w:val="16"/>
                <w:szCs w:val="16"/>
              </w:rPr>
            </w:pPr>
            <w:r w:rsidRPr="00C33CFE">
              <w:rPr>
                <w:rStyle w:val="Textoennegrita"/>
                <w:rFonts w:ascii="Tahoma" w:hAnsi="Tahoma" w:cs="Tahoma"/>
                <w:sz w:val="16"/>
                <w:szCs w:val="16"/>
              </w:rPr>
              <w:t>Progreso (y comisarías como Chelem y Chuburná)</w:t>
            </w:r>
          </w:p>
        </w:tc>
        <w:tc>
          <w:tcPr>
            <w:tcW w:w="2073" w:type="dxa"/>
            <w:vAlign w:val="center"/>
            <w:hideMark/>
          </w:tcPr>
          <w:p w:rsidR="00BA0814" w:rsidRPr="00C33CFE" w:rsidRDefault="00BA0814" w:rsidP="00092525">
            <w:pPr>
              <w:ind w:left="177" w:hanging="26"/>
              <w:jc w:val="left"/>
              <w:rPr>
                <w:rFonts w:ascii="Tahoma" w:hAnsi="Tahoma" w:cs="Tahoma"/>
                <w:sz w:val="16"/>
                <w:szCs w:val="16"/>
              </w:rPr>
            </w:pPr>
            <w:r w:rsidRPr="00C33CFE">
              <w:rPr>
                <w:rFonts w:ascii="Tahoma" w:hAnsi="Tahoma" w:cs="Tahoma"/>
                <w:sz w:val="16"/>
                <w:szCs w:val="16"/>
              </w:rPr>
              <w:t>$12,000 – $20,000</w:t>
            </w:r>
          </w:p>
        </w:tc>
        <w:tc>
          <w:tcPr>
            <w:tcW w:w="0" w:type="auto"/>
            <w:vAlign w:val="center"/>
            <w:hideMark/>
          </w:tcPr>
          <w:p w:rsidR="00BA0814" w:rsidRPr="00C33CFE" w:rsidRDefault="00BA0814" w:rsidP="00092525">
            <w:pPr>
              <w:ind w:left="182" w:hanging="30"/>
              <w:jc w:val="left"/>
              <w:rPr>
                <w:rFonts w:ascii="Tahoma" w:hAnsi="Tahoma" w:cs="Tahoma"/>
                <w:sz w:val="16"/>
                <w:szCs w:val="16"/>
              </w:rPr>
            </w:pPr>
            <w:r w:rsidRPr="00C33CFE">
              <w:rPr>
                <w:rFonts w:ascii="Tahoma" w:hAnsi="Tahoma" w:cs="Tahoma"/>
                <w:sz w:val="16"/>
                <w:szCs w:val="16"/>
              </w:rPr>
              <w:t>Casas cerca de la playa, alta demanda turística, propiedades amuebladas con alberca y terraza.</w:t>
            </w:r>
          </w:p>
        </w:tc>
      </w:tr>
      <w:tr w:rsidR="00C33CFE" w:rsidRPr="00C33CFE" w:rsidTr="000174B1">
        <w:trPr>
          <w:tblCellSpacing w:w="15" w:type="dxa"/>
        </w:trPr>
        <w:tc>
          <w:tcPr>
            <w:tcW w:w="2502" w:type="dxa"/>
            <w:vAlign w:val="center"/>
            <w:hideMark/>
          </w:tcPr>
          <w:p w:rsidR="00BA0814" w:rsidRPr="00C33CFE" w:rsidRDefault="00BA0814" w:rsidP="00092525">
            <w:pPr>
              <w:ind w:left="366" w:right="381" w:firstLine="0"/>
              <w:jc w:val="left"/>
              <w:rPr>
                <w:rFonts w:ascii="Tahoma" w:hAnsi="Tahoma" w:cs="Tahoma"/>
                <w:sz w:val="16"/>
                <w:szCs w:val="16"/>
              </w:rPr>
            </w:pPr>
            <w:r w:rsidRPr="00C33CFE">
              <w:rPr>
                <w:rStyle w:val="Textoennegrita"/>
                <w:rFonts w:ascii="Tahoma" w:hAnsi="Tahoma" w:cs="Tahoma"/>
                <w:sz w:val="16"/>
                <w:szCs w:val="16"/>
              </w:rPr>
              <w:t>Valladolid</w:t>
            </w:r>
          </w:p>
        </w:tc>
        <w:tc>
          <w:tcPr>
            <w:tcW w:w="2073" w:type="dxa"/>
            <w:vAlign w:val="center"/>
            <w:hideMark/>
          </w:tcPr>
          <w:p w:rsidR="00BA0814" w:rsidRPr="00C33CFE" w:rsidRDefault="00BA0814" w:rsidP="00092525">
            <w:pPr>
              <w:ind w:left="177" w:hanging="26"/>
              <w:jc w:val="left"/>
              <w:rPr>
                <w:rFonts w:ascii="Tahoma" w:hAnsi="Tahoma" w:cs="Tahoma"/>
                <w:sz w:val="16"/>
                <w:szCs w:val="16"/>
              </w:rPr>
            </w:pPr>
            <w:r w:rsidRPr="00C33CFE">
              <w:rPr>
                <w:rFonts w:ascii="Tahoma" w:hAnsi="Tahoma" w:cs="Tahoma"/>
                <w:sz w:val="16"/>
                <w:szCs w:val="16"/>
              </w:rPr>
              <w:t>$8,000 – $15,000</w:t>
            </w:r>
          </w:p>
        </w:tc>
        <w:tc>
          <w:tcPr>
            <w:tcW w:w="0" w:type="auto"/>
            <w:vAlign w:val="center"/>
            <w:hideMark/>
          </w:tcPr>
          <w:p w:rsidR="00BA0814" w:rsidRPr="00C33CFE" w:rsidRDefault="00BA0814" w:rsidP="00092525">
            <w:pPr>
              <w:ind w:left="182" w:hanging="30"/>
              <w:jc w:val="left"/>
              <w:rPr>
                <w:rFonts w:ascii="Tahoma" w:hAnsi="Tahoma" w:cs="Tahoma"/>
                <w:sz w:val="16"/>
                <w:szCs w:val="16"/>
              </w:rPr>
            </w:pPr>
            <w:r w:rsidRPr="00C33CFE">
              <w:rPr>
                <w:rFonts w:ascii="Tahoma" w:hAnsi="Tahoma" w:cs="Tahoma"/>
                <w:sz w:val="16"/>
                <w:szCs w:val="16"/>
              </w:rPr>
              <w:t xml:space="preserve">Departamentos y casas en zonas residenciales; algunas propiedades </w:t>
            </w:r>
            <w:r w:rsidR="000174B1" w:rsidRPr="00C33CFE">
              <w:rPr>
                <w:rFonts w:ascii="Tahoma" w:hAnsi="Tahoma" w:cs="Tahoma"/>
                <w:sz w:val="16"/>
                <w:szCs w:val="16"/>
              </w:rPr>
              <w:t>Premium</w:t>
            </w:r>
            <w:r w:rsidRPr="00C33CFE">
              <w:rPr>
                <w:rFonts w:ascii="Tahoma" w:hAnsi="Tahoma" w:cs="Tahoma"/>
                <w:sz w:val="16"/>
                <w:szCs w:val="16"/>
              </w:rPr>
              <w:t xml:space="preserve"> con alberca y seguridad privada.</w:t>
            </w:r>
          </w:p>
        </w:tc>
      </w:tr>
      <w:tr w:rsidR="00C33CFE" w:rsidRPr="00C33CFE" w:rsidTr="000174B1">
        <w:trPr>
          <w:tblCellSpacing w:w="15" w:type="dxa"/>
        </w:trPr>
        <w:tc>
          <w:tcPr>
            <w:tcW w:w="2502" w:type="dxa"/>
            <w:vAlign w:val="center"/>
            <w:hideMark/>
          </w:tcPr>
          <w:p w:rsidR="00BA0814" w:rsidRPr="00C33CFE" w:rsidRDefault="00BA0814" w:rsidP="00092525">
            <w:pPr>
              <w:ind w:left="366" w:right="381" w:firstLine="0"/>
              <w:jc w:val="left"/>
              <w:rPr>
                <w:rFonts w:ascii="Tahoma" w:hAnsi="Tahoma" w:cs="Tahoma"/>
                <w:sz w:val="16"/>
                <w:szCs w:val="16"/>
              </w:rPr>
            </w:pPr>
            <w:r w:rsidRPr="00C33CFE">
              <w:rPr>
                <w:rStyle w:val="Textoennegrita"/>
                <w:rFonts w:ascii="Tahoma" w:hAnsi="Tahoma" w:cs="Tahoma"/>
                <w:sz w:val="16"/>
                <w:szCs w:val="16"/>
              </w:rPr>
              <w:t>Tizimín</w:t>
            </w:r>
          </w:p>
        </w:tc>
        <w:tc>
          <w:tcPr>
            <w:tcW w:w="2073" w:type="dxa"/>
            <w:vAlign w:val="center"/>
            <w:hideMark/>
          </w:tcPr>
          <w:p w:rsidR="00BA0814" w:rsidRPr="00C33CFE" w:rsidRDefault="00BA0814" w:rsidP="00092525">
            <w:pPr>
              <w:ind w:left="177" w:hanging="26"/>
              <w:jc w:val="left"/>
              <w:rPr>
                <w:rFonts w:ascii="Tahoma" w:hAnsi="Tahoma" w:cs="Tahoma"/>
                <w:sz w:val="16"/>
                <w:szCs w:val="16"/>
              </w:rPr>
            </w:pPr>
            <w:r w:rsidRPr="00C33CFE">
              <w:rPr>
                <w:rFonts w:ascii="Tahoma" w:hAnsi="Tahoma" w:cs="Tahoma"/>
                <w:sz w:val="16"/>
                <w:szCs w:val="16"/>
              </w:rPr>
              <w:t>$7,000 – $14,000</w:t>
            </w:r>
          </w:p>
        </w:tc>
        <w:tc>
          <w:tcPr>
            <w:tcW w:w="0" w:type="auto"/>
            <w:vAlign w:val="center"/>
            <w:hideMark/>
          </w:tcPr>
          <w:p w:rsidR="00BA0814" w:rsidRPr="00C33CFE" w:rsidRDefault="00BA0814" w:rsidP="00092525">
            <w:pPr>
              <w:ind w:left="182" w:hanging="30"/>
              <w:jc w:val="left"/>
              <w:rPr>
                <w:rFonts w:ascii="Tahoma" w:hAnsi="Tahoma" w:cs="Tahoma"/>
                <w:sz w:val="16"/>
                <w:szCs w:val="16"/>
              </w:rPr>
            </w:pPr>
            <w:r w:rsidRPr="00C33CFE">
              <w:rPr>
                <w:rFonts w:ascii="Tahoma" w:hAnsi="Tahoma" w:cs="Tahoma"/>
                <w:sz w:val="16"/>
                <w:szCs w:val="16"/>
              </w:rPr>
              <w:t>Viviendas familiares en zonas céntricas; oferta limitada, algunas casas amuebladas con alberca.</w:t>
            </w:r>
          </w:p>
        </w:tc>
      </w:tr>
    </w:tbl>
    <w:p w:rsidR="00BA0814" w:rsidRPr="00C33CFE" w:rsidRDefault="00294522" w:rsidP="00092525">
      <w:pPr>
        <w:rPr>
          <w:rFonts w:ascii="Tahoma" w:hAnsi="Tahoma" w:cs="Tahoma"/>
        </w:rPr>
      </w:pPr>
      <w:r>
        <w:rPr>
          <w:rFonts w:ascii="Tahoma" w:hAnsi="Tahoma" w:cs="Tahoma"/>
          <w:noProof/>
        </w:rPr>
        <w:pict w14:anchorId="122E18A7">
          <v:rect id="_x0000_i1025" alt="" style="width:441.9pt;height:.05pt;mso-width-percent:0;mso-height-percent:0;mso-width-percent:0;mso-height-percent:0" o:hralign="center" o:hrstd="t" o:hr="t" fillcolor="#a0a0a0" stroked="f"/>
        </w:pict>
      </w:r>
    </w:p>
    <w:p w:rsidR="00BA0814" w:rsidRPr="00C33CFE" w:rsidRDefault="00E737C3" w:rsidP="00E737C3">
      <w:pPr>
        <w:pStyle w:val="Ttulo3"/>
        <w:ind w:firstLine="0"/>
        <w:rPr>
          <w:rFonts w:ascii="Tahoma" w:hAnsi="Tahoma" w:cs="Tahoma"/>
          <w:color w:val="auto"/>
          <w:sz w:val="24"/>
          <w:szCs w:val="24"/>
        </w:rPr>
      </w:pPr>
      <w:r w:rsidRPr="00C33CFE">
        <w:rPr>
          <w:rFonts w:ascii="Tahoma" w:hAnsi="Tahoma" w:cs="Tahoma"/>
          <w:color w:val="auto"/>
          <w:sz w:val="24"/>
          <w:szCs w:val="24"/>
        </w:rPr>
        <w:t xml:space="preserve">De lo que el cuadro señala resaltan varias consideraciones:  </w:t>
      </w:r>
    </w:p>
    <w:p w:rsidR="00BA0814" w:rsidRPr="00C33CFE" w:rsidRDefault="00BA0814" w:rsidP="00092525">
      <w:pPr>
        <w:numPr>
          <w:ilvl w:val="0"/>
          <w:numId w:val="6"/>
        </w:numPr>
        <w:spacing w:before="100" w:beforeAutospacing="1" w:after="100" w:afterAutospacing="1"/>
        <w:rPr>
          <w:rFonts w:ascii="Tahoma" w:hAnsi="Tahoma" w:cs="Tahoma"/>
        </w:rPr>
      </w:pPr>
      <w:r w:rsidRPr="00C33CFE">
        <w:rPr>
          <w:rStyle w:val="Textoennegrita"/>
          <w:rFonts w:ascii="Tahoma" w:hAnsi="Tahoma" w:cs="Tahoma"/>
        </w:rPr>
        <w:t>Segmentación socioeconómica:</w:t>
      </w:r>
      <w:r w:rsidRPr="00C33CFE">
        <w:rPr>
          <w:rFonts w:ascii="Tahoma" w:hAnsi="Tahoma" w:cs="Tahoma"/>
        </w:rPr>
        <w:t xml:space="preserve"> Mérida presenta una clara diferenciación: el norte y el centro concentran la oferta de alto valor, mientras que el sur y Kanasín absorben la demanda de sectores populares.</w:t>
      </w:r>
    </w:p>
    <w:p w:rsidR="00BA0814" w:rsidRPr="00C33CFE" w:rsidRDefault="00BA0814" w:rsidP="00092525">
      <w:pPr>
        <w:numPr>
          <w:ilvl w:val="0"/>
          <w:numId w:val="6"/>
        </w:numPr>
        <w:spacing w:before="100" w:beforeAutospacing="1" w:after="100" w:afterAutospacing="1"/>
        <w:rPr>
          <w:rFonts w:ascii="Tahoma" w:hAnsi="Tahoma" w:cs="Tahoma"/>
        </w:rPr>
      </w:pPr>
      <w:r w:rsidRPr="00C33CFE">
        <w:rPr>
          <w:rStyle w:val="Textoennegrita"/>
          <w:rFonts w:ascii="Tahoma" w:hAnsi="Tahoma" w:cs="Tahoma"/>
        </w:rPr>
        <w:t>Municipios costeros y turísticos:</w:t>
      </w:r>
      <w:r w:rsidRPr="00C33CFE">
        <w:rPr>
          <w:rFonts w:ascii="Tahoma" w:hAnsi="Tahoma" w:cs="Tahoma"/>
        </w:rPr>
        <w:t xml:space="preserve"> Progreso muestra precios elevados debido a la demanda de turismo residencial y de inversión extranjera.</w:t>
      </w:r>
    </w:p>
    <w:p w:rsidR="00BA0814" w:rsidRPr="00C33CFE" w:rsidRDefault="00BA0814" w:rsidP="00092525">
      <w:pPr>
        <w:numPr>
          <w:ilvl w:val="0"/>
          <w:numId w:val="6"/>
        </w:numPr>
        <w:spacing w:before="100" w:beforeAutospacing="1" w:after="100" w:afterAutospacing="1"/>
        <w:rPr>
          <w:rFonts w:ascii="Tahoma" w:hAnsi="Tahoma" w:cs="Tahoma"/>
        </w:rPr>
      </w:pPr>
      <w:r w:rsidRPr="00C33CFE">
        <w:rPr>
          <w:rStyle w:val="Textoennegrita"/>
          <w:rFonts w:ascii="Tahoma" w:hAnsi="Tahoma" w:cs="Tahoma"/>
        </w:rPr>
        <w:t>Ciudades intermedias:</w:t>
      </w:r>
      <w:r w:rsidRPr="00C33CFE">
        <w:rPr>
          <w:rFonts w:ascii="Tahoma" w:hAnsi="Tahoma" w:cs="Tahoma"/>
        </w:rPr>
        <w:t xml:space="preserve"> Valladolid y Tizimín ofrecen precios más moderados, pero con menor disponibilidad de servicios y conectividad, lo que limita su atractivo para ciertos perfiles de arrendatarios.</w:t>
      </w:r>
    </w:p>
    <w:p w:rsidR="00BA0814" w:rsidRPr="00C33CFE" w:rsidRDefault="00BA0814" w:rsidP="00092525">
      <w:pPr>
        <w:numPr>
          <w:ilvl w:val="0"/>
          <w:numId w:val="6"/>
        </w:numPr>
        <w:spacing w:before="100" w:beforeAutospacing="1" w:after="100" w:afterAutospacing="1"/>
        <w:rPr>
          <w:rFonts w:ascii="Tahoma" w:hAnsi="Tahoma" w:cs="Tahoma"/>
        </w:rPr>
      </w:pPr>
      <w:r w:rsidRPr="00C33CFE">
        <w:rPr>
          <w:rStyle w:val="Textoennegrita"/>
          <w:rFonts w:ascii="Tahoma" w:hAnsi="Tahoma" w:cs="Tahoma"/>
        </w:rPr>
        <w:t>Presión sobre ingresos:</w:t>
      </w:r>
      <w:r w:rsidRPr="00C33CFE">
        <w:rPr>
          <w:rFonts w:ascii="Tahoma" w:hAnsi="Tahoma" w:cs="Tahoma"/>
        </w:rPr>
        <w:t xml:space="preserve"> En todos los casos, el incremento de rentas supera el crecimiento promedio de salarios, generando una brecha de acceso a vivienda digna para sectores de ingresos bajos y medios.</w:t>
      </w:r>
    </w:p>
    <w:p w:rsidR="00BA0814" w:rsidRPr="00C33CFE" w:rsidRDefault="00BA0814" w:rsidP="00E737C3">
      <w:pPr>
        <w:pStyle w:val="Ttulo2"/>
        <w:ind w:firstLine="0"/>
        <w:rPr>
          <w:rFonts w:ascii="Tahoma" w:hAnsi="Tahoma" w:cs="Tahoma"/>
          <w:color w:val="auto"/>
          <w:sz w:val="24"/>
          <w:szCs w:val="24"/>
        </w:rPr>
      </w:pPr>
      <w:r w:rsidRPr="00C33CFE">
        <w:rPr>
          <w:rFonts w:ascii="Tahoma" w:hAnsi="Tahoma" w:cs="Tahoma"/>
          <w:color w:val="auto"/>
          <w:sz w:val="24"/>
          <w:szCs w:val="24"/>
        </w:rPr>
        <w:t>Evolución de precios de renta en Yucatán (2020–2025)</w:t>
      </w:r>
    </w:p>
    <w:p w:rsidR="00BA0814" w:rsidRPr="00C33CFE" w:rsidRDefault="00BA0814" w:rsidP="00092525">
      <w:pPr>
        <w:pStyle w:val="Ttulo3"/>
        <w:rPr>
          <w:rFonts w:ascii="Tahoma" w:hAnsi="Tahoma" w:cs="Tahoma"/>
          <w:color w:val="auto"/>
          <w:sz w:val="24"/>
          <w:szCs w:val="24"/>
        </w:rPr>
      </w:pPr>
      <w:r w:rsidRPr="00C33CFE">
        <w:rPr>
          <w:rFonts w:ascii="Tahoma" w:hAnsi="Tahoma" w:cs="Tahoma"/>
          <w:color w:val="auto"/>
          <w:sz w:val="24"/>
          <w:szCs w:val="24"/>
        </w:rPr>
        <w:t>1. Tendencia general en Mérida</w:t>
      </w:r>
    </w:p>
    <w:p w:rsidR="00BA0814" w:rsidRPr="00C33CFE" w:rsidRDefault="00BA0814" w:rsidP="00092525">
      <w:pPr>
        <w:numPr>
          <w:ilvl w:val="0"/>
          <w:numId w:val="7"/>
        </w:numPr>
        <w:spacing w:before="100" w:beforeAutospacing="1" w:after="100" w:afterAutospacing="1"/>
        <w:rPr>
          <w:rFonts w:ascii="Tahoma" w:hAnsi="Tahoma" w:cs="Tahoma"/>
        </w:rPr>
      </w:pPr>
      <w:r w:rsidRPr="00C33CFE">
        <w:rPr>
          <w:rStyle w:val="Textoennegrita"/>
          <w:rFonts w:ascii="Tahoma" w:hAnsi="Tahoma" w:cs="Tahoma"/>
        </w:rPr>
        <w:t>Norte de Mérida:</w:t>
      </w:r>
      <w:r w:rsidRPr="00C33CFE">
        <w:rPr>
          <w:rFonts w:ascii="Tahoma" w:hAnsi="Tahoma" w:cs="Tahoma"/>
        </w:rPr>
        <w:t xml:space="preserve"> incremento sostenido, pasando de un rango promedio de $8,000–$10,000 en 2020 a $12,000–$18,000 en 2025.</w:t>
      </w:r>
    </w:p>
    <w:p w:rsidR="00BA0814" w:rsidRPr="00C33CFE" w:rsidRDefault="00BA0814" w:rsidP="00092525">
      <w:pPr>
        <w:numPr>
          <w:ilvl w:val="0"/>
          <w:numId w:val="7"/>
        </w:numPr>
        <w:spacing w:before="100" w:beforeAutospacing="1" w:after="100" w:afterAutospacing="1"/>
        <w:rPr>
          <w:rFonts w:ascii="Tahoma" w:hAnsi="Tahoma" w:cs="Tahoma"/>
        </w:rPr>
      </w:pPr>
      <w:r w:rsidRPr="00C33CFE">
        <w:rPr>
          <w:rStyle w:val="Textoennegrita"/>
          <w:rFonts w:ascii="Tahoma" w:hAnsi="Tahoma" w:cs="Tahoma"/>
        </w:rPr>
        <w:t>Centro Histórico:</w:t>
      </w:r>
      <w:r w:rsidRPr="00C33CFE">
        <w:rPr>
          <w:rFonts w:ascii="Tahoma" w:hAnsi="Tahoma" w:cs="Tahoma"/>
        </w:rPr>
        <w:t xml:space="preserve"> aumento moderado, de $7,000–$9,000 en 2020 a $10,000–$16,000 en 2025.</w:t>
      </w:r>
    </w:p>
    <w:p w:rsidR="00BA0814" w:rsidRPr="00C33CFE" w:rsidRDefault="00BA0814" w:rsidP="00092525">
      <w:pPr>
        <w:numPr>
          <w:ilvl w:val="0"/>
          <w:numId w:val="7"/>
        </w:numPr>
        <w:spacing w:before="100" w:beforeAutospacing="1" w:after="100" w:afterAutospacing="1"/>
        <w:rPr>
          <w:rFonts w:ascii="Tahoma" w:hAnsi="Tahoma" w:cs="Tahoma"/>
        </w:rPr>
      </w:pPr>
      <w:r w:rsidRPr="00C33CFE">
        <w:rPr>
          <w:rStyle w:val="Textoennegrita"/>
          <w:rFonts w:ascii="Tahoma" w:hAnsi="Tahoma" w:cs="Tahoma"/>
        </w:rPr>
        <w:t>Sur y periferia:</w:t>
      </w:r>
      <w:r w:rsidRPr="00C33CFE">
        <w:rPr>
          <w:rFonts w:ascii="Tahoma" w:hAnsi="Tahoma" w:cs="Tahoma"/>
        </w:rPr>
        <w:t xml:space="preserve"> crecimiento más lento, de $3,500–$5,000 en 2020 a $5,000–$8,000 en 2025.</w:t>
      </w:r>
    </w:p>
    <w:p w:rsidR="00BA0814" w:rsidRPr="00C33CFE" w:rsidRDefault="00BA0814" w:rsidP="00092525">
      <w:pPr>
        <w:pStyle w:val="Ttulo3"/>
        <w:rPr>
          <w:rFonts w:ascii="Tahoma" w:hAnsi="Tahoma" w:cs="Tahoma"/>
          <w:color w:val="auto"/>
          <w:sz w:val="24"/>
          <w:szCs w:val="24"/>
        </w:rPr>
      </w:pPr>
      <w:r w:rsidRPr="00C33CFE">
        <w:rPr>
          <w:rFonts w:ascii="Tahoma" w:hAnsi="Tahoma" w:cs="Tahoma"/>
          <w:color w:val="auto"/>
          <w:sz w:val="24"/>
          <w:szCs w:val="24"/>
        </w:rPr>
        <w:t>2. Municipios con dinámica diferenciada</w:t>
      </w:r>
    </w:p>
    <w:p w:rsidR="00BA0814" w:rsidRPr="00C33CFE" w:rsidRDefault="00BA0814" w:rsidP="00092525">
      <w:pPr>
        <w:numPr>
          <w:ilvl w:val="0"/>
          <w:numId w:val="8"/>
        </w:numPr>
        <w:spacing w:before="100" w:beforeAutospacing="1" w:after="100" w:afterAutospacing="1"/>
        <w:rPr>
          <w:rFonts w:ascii="Tahoma" w:hAnsi="Tahoma" w:cs="Tahoma"/>
        </w:rPr>
      </w:pPr>
      <w:r w:rsidRPr="00C33CFE">
        <w:rPr>
          <w:rStyle w:val="Textoennegrita"/>
          <w:rFonts w:ascii="Tahoma" w:hAnsi="Tahoma" w:cs="Tahoma"/>
        </w:rPr>
        <w:t>Kanasín:</w:t>
      </w:r>
      <w:r w:rsidRPr="00C33CFE">
        <w:rPr>
          <w:rFonts w:ascii="Tahoma" w:hAnsi="Tahoma" w:cs="Tahoma"/>
        </w:rPr>
        <w:t xml:space="preserve"> precios bajos pero en ascenso, de $3,500–$4,500 en 2020 a $5,000–$7,000 en 2025, impulsados por la expansión de fraccionamientos populares.</w:t>
      </w:r>
    </w:p>
    <w:p w:rsidR="00BA0814" w:rsidRPr="00C33CFE" w:rsidRDefault="00BA0814" w:rsidP="00092525">
      <w:pPr>
        <w:numPr>
          <w:ilvl w:val="0"/>
          <w:numId w:val="8"/>
        </w:numPr>
        <w:spacing w:before="100" w:beforeAutospacing="1" w:after="100" w:afterAutospacing="1"/>
        <w:rPr>
          <w:rFonts w:ascii="Tahoma" w:hAnsi="Tahoma" w:cs="Tahoma"/>
        </w:rPr>
      </w:pPr>
      <w:r w:rsidRPr="00C33CFE">
        <w:rPr>
          <w:rStyle w:val="Textoennegrita"/>
          <w:rFonts w:ascii="Tahoma" w:hAnsi="Tahoma" w:cs="Tahoma"/>
        </w:rPr>
        <w:t>Progreso:</w:t>
      </w:r>
      <w:r w:rsidRPr="00C33CFE">
        <w:rPr>
          <w:rFonts w:ascii="Tahoma" w:hAnsi="Tahoma" w:cs="Tahoma"/>
        </w:rPr>
        <w:t xml:space="preserve"> fuerte encarecimiento por demanda turística, de $8,000–$12,000 en 2020 a $12,000–$20,000 en 2025.</w:t>
      </w:r>
    </w:p>
    <w:p w:rsidR="00BA0814" w:rsidRPr="00C33CFE" w:rsidRDefault="00BA0814" w:rsidP="00092525">
      <w:pPr>
        <w:numPr>
          <w:ilvl w:val="0"/>
          <w:numId w:val="8"/>
        </w:numPr>
        <w:spacing w:before="100" w:beforeAutospacing="1" w:after="100" w:afterAutospacing="1"/>
        <w:rPr>
          <w:rFonts w:ascii="Tahoma" w:hAnsi="Tahoma" w:cs="Tahoma"/>
        </w:rPr>
      </w:pPr>
      <w:r w:rsidRPr="00C33CFE">
        <w:rPr>
          <w:rStyle w:val="Textoennegrita"/>
          <w:rFonts w:ascii="Tahoma" w:hAnsi="Tahoma" w:cs="Tahoma"/>
        </w:rPr>
        <w:t>Valladolid:</w:t>
      </w:r>
      <w:r w:rsidRPr="00C33CFE">
        <w:rPr>
          <w:rFonts w:ascii="Tahoma" w:hAnsi="Tahoma" w:cs="Tahoma"/>
        </w:rPr>
        <w:t xml:space="preserve"> crecimiento estable, de $6,000–$9,000 en 2020 a $8,000–$15,000 en 2025.</w:t>
      </w:r>
    </w:p>
    <w:p w:rsidR="00BA0814" w:rsidRPr="00C33CFE" w:rsidRDefault="00BA0814" w:rsidP="00092525">
      <w:pPr>
        <w:numPr>
          <w:ilvl w:val="0"/>
          <w:numId w:val="8"/>
        </w:numPr>
        <w:spacing w:before="100" w:beforeAutospacing="1" w:after="100" w:afterAutospacing="1"/>
        <w:rPr>
          <w:rFonts w:ascii="Tahoma" w:hAnsi="Tahoma" w:cs="Tahoma"/>
        </w:rPr>
      </w:pPr>
      <w:r w:rsidRPr="00C33CFE">
        <w:rPr>
          <w:rStyle w:val="Textoennegrita"/>
          <w:rFonts w:ascii="Tahoma" w:hAnsi="Tahoma" w:cs="Tahoma"/>
        </w:rPr>
        <w:t>Tizimín:</w:t>
      </w:r>
      <w:r w:rsidRPr="00C33CFE">
        <w:rPr>
          <w:rFonts w:ascii="Tahoma" w:hAnsi="Tahoma" w:cs="Tahoma"/>
        </w:rPr>
        <w:t xml:space="preserve"> incremento moderado, de $5,000–$8,000 en 2020 a $7,000–$14,000 en 2025.</w:t>
      </w:r>
    </w:p>
    <w:p w:rsidR="00BA0814" w:rsidRPr="00C33CFE" w:rsidRDefault="0070703C" w:rsidP="00092525">
      <w:pPr>
        <w:ind w:firstLine="0"/>
        <w:rPr>
          <w:rFonts w:ascii="Tahoma" w:hAnsi="Tahoma" w:cs="Tahoma"/>
        </w:rPr>
      </w:pPr>
      <w:r w:rsidRPr="00C33CFE">
        <w:rPr>
          <w:rFonts w:ascii="Tahoma" w:hAnsi="Tahoma" w:cs="Tahoma"/>
        </w:rPr>
        <w:t xml:space="preserve"> De lo mencionado, se pueden sacar varias conclusiones:</w:t>
      </w:r>
    </w:p>
    <w:p w:rsidR="00BA0814" w:rsidRPr="00C33CFE" w:rsidRDefault="00BA0814" w:rsidP="00092525">
      <w:pPr>
        <w:numPr>
          <w:ilvl w:val="0"/>
          <w:numId w:val="10"/>
        </w:numPr>
        <w:spacing w:before="100" w:beforeAutospacing="1" w:after="100" w:afterAutospacing="1"/>
        <w:rPr>
          <w:rFonts w:ascii="Tahoma" w:hAnsi="Tahoma" w:cs="Tahoma"/>
        </w:rPr>
      </w:pPr>
      <w:r w:rsidRPr="00C33CFE">
        <w:rPr>
          <w:rFonts w:ascii="Tahoma" w:hAnsi="Tahoma" w:cs="Tahoma"/>
        </w:rPr>
        <w:t xml:space="preserve">El </w:t>
      </w:r>
      <w:r w:rsidRPr="00C33CFE">
        <w:rPr>
          <w:rStyle w:val="Textoennegrita"/>
          <w:rFonts w:ascii="Tahoma" w:hAnsi="Tahoma" w:cs="Tahoma"/>
          <w:b w:val="0"/>
        </w:rPr>
        <w:t>norte de Mérida y Progreso</w:t>
      </w:r>
      <w:r w:rsidRPr="00C33CFE">
        <w:rPr>
          <w:rFonts w:ascii="Tahoma" w:hAnsi="Tahoma" w:cs="Tahoma"/>
        </w:rPr>
        <w:t xml:space="preserve"> concentran el mayor dinamismo inmobiliario, con incrementos superiores al promedio estatal.</w:t>
      </w:r>
    </w:p>
    <w:p w:rsidR="00BA0814" w:rsidRPr="00C33CFE" w:rsidRDefault="00BA0814" w:rsidP="00092525">
      <w:pPr>
        <w:numPr>
          <w:ilvl w:val="0"/>
          <w:numId w:val="10"/>
        </w:numPr>
        <w:spacing w:before="100" w:beforeAutospacing="1" w:after="100" w:afterAutospacing="1"/>
        <w:rPr>
          <w:rFonts w:ascii="Tahoma" w:hAnsi="Tahoma" w:cs="Tahoma"/>
        </w:rPr>
      </w:pPr>
      <w:r w:rsidRPr="00C33CFE">
        <w:rPr>
          <w:rFonts w:ascii="Tahoma" w:hAnsi="Tahoma" w:cs="Tahoma"/>
        </w:rPr>
        <w:t xml:space="preserve">El </w:t>
      </w:r>
      <w:r w:rsidRPr="00C33CFE">
        <w:rPr>
          <w:rStyle w:val="Textoennegrita"/>
          <w:rFonts w:ascii="Tahoma" w:hAnsi="Tahoma" w:cs="Tahoma"/>
          <w:b w:val="0"/>
        </w:rPr>
        <w:t>sur de Mérida y Kanasín</w:t>
      </w:r>
      <w:r w:rsidRPr="00C33CFE">
        <w:rPr>
          <w:rFonts w:ascii="Tahoma" w:hAnsi="Tahoma" w:cs="Tahoma"/>
        </w:rPr>
        <w:t xml:space="preserve"> funcionan como válvula de escape para sectores de ingresos bajos, aunque con menor infraestructura.</w:t>
      </w:r>
    </w:p>
    <w:p w:rsidR="00BA0814" w:rsidRPr="00C33CFE" w:rsidRDefault="00BA0814" w:rsidP="00092525">
      <w:pPr>
        <w:numPr>
          <w:ilvl w:val="0"/>
          <w:numId w:val="10"/>
        </w:numPr>
        <w:spacing w:before="100" w:beforeAutospacing="1" w:after="100" w:afterAutospacing="1"/>
        <w:rPr>
          <w:rFonts w:ascii="Tahoma" w:hAnsi="Tahoma" w:cs="Tahoma"/>
        </w:rPr>
      </w:pPr>
      <w:r w:rsidRPr="00C33CFE">
        <w:rPr>
          <w:rStyle w:val="Textoennegrita"/>
          <w:rFonts w:ascii="Tahoma" w:hAnsi="Tahoma" w:cs="Tahoma"/>
          <w:b w:val="0"/>
        </w:rPr>
        <w:t>Valladolid y Tizimín</w:t>
      </w:r>
      <w:r w:rsidRPr="00C33CFE">
        <w:rPr>
          <w:rFonts w:ascii="Tahoma" w:hAnsi="Tahoma" w:cs="Tahoma"/>
        </w:rPr>
        <w:t xml:space="preserve"> muestran un crecimiento moderado, reflejando su papel como ciudades intermedias con potencial de expansión futura.</w:t>
      </w:r>
    </w:p>
    <w:p w:rsidR="00BA0814" w:rsidRPr="00C33CFE" w:rsidRDefault="00BA0814" w:rsidP="00092525">
      <w:pPr>
        <w:numPr>
          <w:ilvl w:val="0"/>
          <w:numId w:val="10"/>
        </w:numPr>
        <w:spacing w:before="100" w:beforeAutospacing="1" w:after="100" w:afterAutospacing="1"/>
        <w:rPr>
          <w:rFonts w:ascii="Tahoma" w:hAnsi="Tahoma" w:cs="Tahoma"/>
          <w:b/>
        </w:rPr>
      </w:pPr>
      <w:r w:rsidRPr="00C33CFE">
        <w:rPr>
          <w:rFonts w:ascii="Tahoma" w:hAnsi="Tahoma" w:cs="Tahoma"/>
          <w:b/>
        </w:rPr>
        <w:t xml:space="preserve">La brecha entre salarios y rentas se ha ampliado, generando un </w:t>
      </w:r>
      <w:r w:rsidRPr="00C33CFE">
        <w:rPr>
          <w:rStyle w:val="Textoennegrita"/>
          <w:rFonts w:ascii="Tahoma" w:hAnsi="Tahoma" w:cs="Tahoma"/>
        </w:rPr>
        <w:t>riesgo de inaccesibilidad habitacional</w:t>
      </w:r>
      <w:r w:rsidRPr="00C33CFE">
        <w:rPr>
          <w:rFonts w:ascii="Tahoma" w:hAnsi="Tahoma" w:cs="Tahoma"/>
          <w:b/>
        </w:rPr>
        <w:t xml:space="preserve"> para amplios sectores de la población.</w:t>
      </w:r>
    </w:p>
    <w:p w:rsidR="00BA0814" w:rsidRPr="00C33CFE" w:rsidRDefault="00BA0814" w:rsidP="00092525">
      <w:pPr>
        <w:pStyle w:val="Ttulo3"/>
        <w:rPr>
          <w:rFonts w:ascii="Tahoma" w:hAnsi="Tahoma" w:cs="Tahoma"/>
          <w:color w:val="auto"/>
          <w:sz w:val="24"/>
          <w:szCs w:val="24"/>
        </w:rPr>
      </w:pPr>
      <w:r w:rsidRPr="00C33CFE">
        <w:rPr>
          <w:rFonts w:ascii="Tahoma" w:hAnsi="Tahoma" w:cs="Tahoma"/>
          <w:color w:val="auto"/>
          <w:sz w:val="24"/>
          <w:szCs w:val="24"/>
        </w:rPr>
        <w:t>Evolución de precios de renta (MXN mensuales)</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4"/>
        <w:gridCol w:w="1104"/>
        <w:gridCol w:w="1104"/>
        <w:gridCol w:w="1103"/>
        <w:gridCol w:w="1103"/>
        <w:gridCol w:w="1103"/>
        <w:gridCol w:w="1103"/>
        <w:gridCol w:w="1104"/>
      </w:tblGrid>
      <w:tr w:rsidR="00C33CFE" w:rsidRPr="00C33CFE" w:rsidTr="0070703C">
        <w:trPr>
          <w:tblHeader/>
          <w:tblCellSpacing w:w="15" w:type="dxa"/>
        </w:trPr>
        <w:tc>
          <w:tcPr>
            <w:tcW w:w="599" w:type="pct"/>
            <w:shd w:val="clear" w:color="auto" w:fill="000000" w:themeFill="text1"/>
            <w:vAlign w:val="center"/>
            <w:hideMark/>
          </w:tcPr>
          <w:p w:rsidR="00BA0814" w:rsidRPr="00C33CFE" w:rsidRDefault="00BA0814" w:rsidP="00092525">
            <w:pPr>
              <w:ind w:left="189" w:firstLine="0"/>
              <w:rPr>
                <w:rFonts w:ascii="Tahoma" w:hAnsi="Tahoma" w:cs="Tahoma"/>
                <w:b/>
                <w:sz w:val="16"/>
                <w:szCs w:val="16"/>
              </w:rPr>
            </w:pPr>
            <w:r w:rsidRPr="00C33CFE">
              <w:rPr>
                <w:rFonts w:ascii="Tahoma" w:hAnsi="Tahoma" w:cs="Tahoma"/>
                <w:b/>
                <w:sz w:val="16"/>
                <w:szCs w:val="16"/>
              </w:rPr>
              <w:t>Año</w:t>
            </w:r>
          </w:p>
        </w:tc>
        <w:tc>
          <w:tcPr>
            <w:tcW w:w="608" w:type="pct"/>
            <w:shd w:val="clear" w:color="auto" w:fill="000000" w:themeFill="text1"/>
            <w:vAlign w:val="center"/>
            <w:hideMark/>
          </w:tcPr>
          <w:p w:rsidR="00BA0814" w:rsidRPr="00C33CFE" w:rsidRDefault="00BA0814" w:rsidP="00092525">
            <w:pPr>
              <w:ind w:left="77" w:firstLine="0"/>
              <w:rPr>
                <w:rFonts w:ascii="Tahoma" w:hAnsi="Tahoma" w:cs="Tahoma"/>
                <w:b/>
                <w:sz w:val="16"/>
                <w:szCs w:val="16"/>
              </w:rPr>
            </w:pPr>
            <w:r w:rsidRPr="00C33CFE">
              <w:rPr>
                <w:rFonts w:ascii="Tahoma" w:hAnsi="Tahoma" w:cs="Tahoma"/>
                <w:b/>
                <w:sz w:val="16"/>
                <w:szCs w:val="16"/>
              </w:rPr>
              <w:t>Norte Mérida</w:t>
            </w:r>
          </w:p>
        </w:tc>
        <w:tc>
          <w:tcPr>
            <w:tcW w:w="608" w:type="pct"/>
            <w:shd w:val="clear" w:color="auto" w:fill="000000" w:themeFill="text1"/>
            <w:vAlign w:val="center"/>
            <w:hideMark/>
          </w:tcPr>
          <w:p w:rsidR="00BA0814" w:rsidRPr="00C33CFE" w:rsidRDefault="00BA0814" w:rsidP="00092525">
            <w:pPr>
              <w:ind w:left="106" w:hanging="39"/>
              <w:rPr>
                <w:rFonts w:ascii="Tahoma" w:hAnsi="Tahoma" w:cs="Tahoma"/>
                <w:b/>
                <w:sz w:val="16"/>
                <w:szCs w:val="16"/>
              </w:rPr>
            </w:pPr>
            <w:r w:rsidRPr="00C33CFE">
              <w:rPr>
                <w:rFonts w:ascii="Tahoma" w:hAnsi="Tahoma" w:cs="Tahoma"/>
                <w:b/>
                <w:sz w:val="16"/>
                <w:szCs w:val="16"/>
              </w:rPr>
              <w:t>Centro Mérida</w:t>
            </w:r>
          </w:p>
        </w:tc>
        <w:tc>
          <w:tcPr>
            <w:tcW w:w="608" w:type="pct"/>
            <w:shd w:val="clear" w:color="auto" w:fill="000000" w:themeFill="text1"/>
            <w:vAlign w:val="center"/>
            <w:hideMark/>
          </w:tcPr>
          <w:p w:rsidR="00BA0814" w:rsidRPr="00C33CFE" w:rsidRDefault="00BA0814" w:rsidP="00092525">
            <w:pPr>
              <w:ind w:left="230" w:firstLine="0"/>
              <w:rPr>
                <w:rFonts w:ascii="Tahoma" w:hAnsi="Tahoma" w:cs="Tahoma"/>
                <w:b/>
                <w:sz w:val="16"/>
                <w:szCs w:val="16"/>
              </w:rPr>
            </w:pPr>
            <w:r w:rsidRPr="00C33CFE">
              <w:rPr>
                <w:rFonts w:ascii="Tahoma" w:hAnsi="Tahoma" w:cs="Tahoma"/>
                <w:b/>
                <w:sz w:val="16"/>
                <w:szCs w:val="16"/>
              </w:rPr>
              <w:t>Sur Mérida</w:t>
            </w:r>
          </w:p>
        </w:tc>
        <w:tc>
          <w:tcPr>
            <w:tcW w:w="608" w:type="pct"/>
            <w:shd w:val="clear" w:color="auto" w:fill="000000" w:themeFill="text1"/>
            <w:vAlign w:val="center"/>
            <w:hideMark/>
          </w:tcPr>
          <w:p w:rsidR="00BA0814" w:rsidRPr="00C33CFE" w:rsidRDefault="00BA0814" w:rsidP="00092525">
            <w:pPr>
              <w:ind w:left="120" w:firstLine="0"/>
              <w:rPr>
                <w:rFonts w:ascii="Tahoma" w:hAnsi="Tahoma" w:cs="Tahoma"/>
                <w:b/>
                <w:sz w:val="16"/>
                <w:szCs w:val="16"/>
              </w:rPr>
            </w:pPr>
            <w:r w:rsidRPr="00C33CFE">
              <w:rPr>
                <w:rFonts w:ascii="Tahoma" w:hAnsi="Tahoma" w:cs="Tahoma"/>
                <w:b/>
                <w:sz w:val="16"/>
                <w:szCs w:val="16"/>
              </w:rPr>
              <w:t>Kanasín</w:t>
            </w:r>
          </w:p>
        </w:tc>
        <w:tc>
          <w:tcPr>
            <w:tcW w:w="608" w:type="pct"/>
            <w:shd w:val="clear" w:color="auto" w:fill="000000" w:themeFill="text1"/>
            <w:vAlign w:val="center"/>
            <w:hideMark/>
          </w:tcPr>
          <w:p w:rsidR="00BA0814" w:rsidRPr="00C33CFE" w:rsidRDefault="00BA0814" w:rsidP="00092525">
            <w:pPr>
              <w:ind w:left="268" w:firstLine="0"/>
              <w:rPr>
                <w:rFonts w:ascii="Tahoma" w:hAnsi="Tahoma" w:cs="Tahoma"/>
                <w:b/>
                <w:sz w:val="16"/>
                <w:szCs w:val="16"/>
              </w:rPr>
            </w:pPr>
            <w:r w:rsidRPr="00C33CFE">
              <w:rPr>
                <w:rFonts w:ascii="Tahoma" w:hAnsi="Tahoma" w:cs="Tahoma"/>
                <w:b/>
                <w:sz w:val="16"/>
                <w:szCs w:val="16"/>
              </w:rPr>
              <w:t>Progreso</w:t>
            </w:r>
          </w:p>
        </w:tc>
        <w:tc>
          <w:tcPr>
            <w:tcW w:w="608" w:type="pct"/>
            <w:shd w:val="clear" w:color="auto" w:fill="000000" w:themeFill="text1"/>
            <w:vAlign w:val="center"/>
            <w:hideMark/>
          </w:tcPr>
          <w:p w:rsidR="00BA0814" w:rsidRPr="00C33CFE" w:rsidRDefault="00BA0814" w:rsidP="00092525">
            <w:pPr>
              <w:ind w:left="149" w:firstLine="0"/>
              <w:rPr>
                <w:rFonts w:ascii="Tahoma" w:hAnsi="Tahoma" w:cs="Tahoma"/>
                <w:b/>
                <w:sz w:val="16"/>
                <w:szCs w:val="16"/>
              </w:rPr>
            </w:pPr>
            <w:r w:rsidRPr="00C33CFE">
              <w:rPr>
                <w:rFonts w:ascii="Tahoma" w:hAnsi="Tahoma" w:cs="Tahoma"/>
                <w:b/>
                <w:sz w:val="16"/>
                <w:szCs w:val="16"/>
              </w:rPr>
              <w:t>Valladolid</w:t>
            </w:r>
          </w:p>
        </w:tc>
        <w:tc>
          <w:tcPr>
            <w:tcW w:w="600" w:type="pct"/>
            <w:shd w:val="clear" w:color="auto" w:fill="000000" w:themeFill="text1"/>
            <w:vAlign w:val="center"/>
            <w:hideMark/>
          </w:tcPr>
          <w:p w:rsidR="00BA0814" w:rsidRPr="00C33CFE" w:rsidRDefault="00BA0814" w:rsidP="00092525">
            <w:pPr>
              <w:ind w:left="65" w:firstLine="0"/>
              <w:rPr>
                <w:rFonts w:ascii="Tahoma" w:hAnsi="Tahoma" w:cs="Tahoma"/>
                <w:b/>
                <w:sz w:val="16"/>
                <w:szCs w:val="16"/>
              </w:rPr>
            </w:pPr>
            <w:r w:rsidRPr="00C33CFE">
              <w:rPr>
                <w:rFonts w:ascii="Tahoma" w:hAnsi="Tahoma" w:cs="Tahoma"/>
                <w:b/>
                <w:sz w:val="16"/>
                <w:szCs w:val="16"/>
              </w:rPr>
              <w:t>Tizimín</w:t>
            </w:r>
          </w:p>
        </w:tc>
      </w:tr>
      <w:tr w:rsidR="00C33CFE" w:rsidRPr="00C33CFE" w:rsidTr="000174B1">
        <w:trPr>
          <w:tblCellSpacing w:w="15" w:type="dxa"/>
        </w:trPr>
        <w:tc>
          <w:tcPr>
            <w:tcW w:w="599" w:type="pct"/>
            <w:vAlign w:val="center"/>
            <w:hideMark/>
          </w:tcPr>
          <w:p w:rsidR="00BA0814" w:rsidRPr="00C33CFE" w:rsidRDefault="00BA0814" w:rsidP="00092525">
            <w:pPr>
              <w:ind w:left="189" w:firstLine="0"/>
              <w:rPr>
                <w:rFonts w:ascii="Tahoma" w:hAnsi="Tahoma" w:cs="Tahoma"/>
                <w:b/>
                <w:sz w:val="16"/>
                <w:szCs w:val="16"/>
              </w:rPr>
            </w:pPr>
            <w:r w:rsidRPr="00C33CFE">
              <w:rPr>
                <w:rFonts w:ascii="Tahoma" w:hAnsi="Tahoma" w:cs="Tahoma"/>
                <w:b/>
                <w:sz w:val="16"/>
                <w:szCs w:val="16"/>
              </w:rPr>
              <w:t>2020</w:t>
            </w:r>
          </w:p>
        </w:tc>
        <w:tc>
          <w:tcPr>
            <w:tcW w:w="608" w:type="pct"/>
            <w:vAlign w:val="center"/>
            <w:hideMark/>
          </w:tcPr>
          <w:p w:rsidR="00BA0814" w:rsidRPr="00C33CFE" w:rsidRDefault="00BA0814" w:rsidP="00092525">
            <w:pPr>
              <w:ind w:left="77" w:firstLine="0"/>
              <w:rPr>
                <w:rFonts w:ascii="Tahoma" w:hAnsi="Tahoma" w:cs="Tahoma"/>
                <w:b/>
                <w:sz w:val="16"/>
                <w:szCs w:val="16"/>
              </w:rPr>
            </w:pPr>
            <w:r w:rsidRPr="00C33CFE">
              <w:rPr>
                <w:rFonts w:ascii="Tahoma" w:hAnsi="Tahoma" w:cs="Tahoma"/>
                <w:b/>
                <w:sz w:val="16"/>
                <w:szCs w:val="16"/>
              </w:rPr>
              <w:t>8,000–10,000</w:t>
            </w:r>
          </w:p>
        </w:tc>
        <w:tc>
          <w:tcPr>
            <w:tcW w:w="608" w:type="pct"/>
            <w:vAlign w:val="center"/>
            <w:hideMark/>
          </w:tcPr>
          <w:p w:rsidR="00BA0814" w:rsidRPr="00C33CFE" w:rsidRDefault="00BA0814" w:rsidP="00092525">
            <w:pPr>
              <w:ind w:left="106" w:hanging="39"/>
              <w:rPr>
                <w:rFonts w:ascii="Tahoma" w:hAnsi="Tahoma" w:cs="Tahoma"/>
                <w:b/>
                <w:sz w:val="16"/>
                <w:szCs w:val="16"/>
              </w:rPr>
            </w:pPr>
            <w:r w:rsidRPr="00C33CFE">
              <w:rPr>
                <w:rFonts w:ascii="Tahoma" w:hAnsi="Tahoma" w:cs="Tahoma"/>
                <w:b/>
                <w:sz w:val="16"/>
                <w:szCs w:val="16"/>
              </w:rPr>
              <w:t>7,000–9,000</w:t>
            </w:r>
          </w:p>
        </w:tc>
        <w:tc>
          <w:tcPr>
            <w:tcW w:w="608" w:type="pct"/>
            <w:vAlign w:val="center"/>
            <w:hideMark/>
          </w:tcPr>
          <w:p w:rsidR="00BA0814" w:rsidRPr="00C33CFE" w:rsidRDefault="00BA0814" w:rsidP="00092525">
            <w:pPr>
              <w:ind w:left="230" w:firstLine="0"/>
              <w:rPr>
                <w:rFonts w:ascii="Tahoma" w:hAnsi="Tahoma" w:cs="Tahoma"/>
                <w:b/>
                <w:sz w:val="16"/>
                <w:szCs w:val="16"/>
              </w:rPr>
            </w:pPr>
            <w:r w:rsidRPr="00C33CFE">
              <w:rPr>
                <w:rFonts w:ascii="Tahoma" w:hAnsi="Tahoma" w:cs="Tahoma"/>
                <w:b/>
                <w:sz w:val="16"/>
                <w:szCs w:val="16"/>
              </w:rPr>
              <w:t>3,500–5,000</w:t>
            </w:r>
          </w:p>
        </w:tc>
        <w:tc>
          <w:tcPr>
            <w:tcW w:w="608" w:type="pct"/>
            <w:vAlign w:val="center"/>
            <w:hideMark/>
          </w:tcPr>
          <w:p w:rsidR="00BA0814" w:rsidRPr="00C33CFE" w:rsidRDefault="00BA0814" w:rsidP="00092525">
            <w:pPr>
              <w:ind w:left="120" w:firstLine="0"/>
              <w:rPr>
                <w:rFonts w:ascii="Tahoma" w:hAnsi="Tahoma" w:cs="Tahoma"/>
                <w:b/>
                <w:sz w:val="16"/>
                <w:szCs w:val="16"/>
              </w:rPr>
            </w:pPr>
            <w:r w:rsidRPr="00C33CFE">
              <w:rPr>
                <w:rFonts w:ascii="Tahoma" w:hAnsi="Tahoma" w:cs="Tahoma"/>
                <w:b/>
                <w:sz w:val="16"/>
                <w:szCs w:val="16"/>
              </w:rPr>
              <w:t>3,500–4,500</w:t>
            </w:r>
          </w:p>
        </w:tc>
        <w:tc>
          <w:tcPr>
            <w:tcW w:w="608" w:type="pct"/>
            <w:vAlign w:val="center"/>
            <w:hideMark/>
          </w:tcPr>
          <w:p w:rsidR="00BA0814" w:rsidRPr="00C33CFE" w:rsidRDefault="00BA0814" w:rsidP="00092525">
            <w:pPr>
              <w:ind w:left="268" w:firstLine="0"/>
              <w:rPr>
                <w:rFonts w:ascii="Tahoma" w:hAnsi="Tahoma" w:cs="Tahoma"/>
                <w:b/>
                <w:sz w:val="16"/>
                <w:szCs w:val="16"/>
              </w:rPr>
            </w:pPr>
            <w:r w:rsidRPr="00C33CFE">
              <w:rPr>
                <w:rFonts w:ascii="Tahoma" w:hAnsi="Tahoma" w:cs="Tahoma"/>
                <w:b/>
                <w:sz w:val="16"/>
                <w:szCs w:val="16"/>
              </w:rPr>
              <w:t>8,000–12,000</w:t>
            </w:r>
          </w:p>
        </w:tc>
        <w:tc>
          <w:tcPr>
            <w:tcW w:w="608" w:type="pct"/>
            <w:vAlign w:val="center"/>
            <w:hideMark/>
          </w:tcPr>
          <w:p w:rsidR="00BA0814" w:rsidRPr="00C33CFE" w:rsidRDefault="00BA0814" w:rsidP="00092525">
            <w:pPr>
              <w:ind w:left="149" w:firstLine="0"/>
              <w:rPr>
                <w:rFonts w:ascii="Tahoma" w:hAnsi="Tahoma" w:cs="Tahoma"/>
                <w:b/>
                <w:sz w:val="16"/>
                <w:szCs w:val="16"/>
              </w:rPr>
            </w:pPr>
            <w:r w:rsidRPr="00C33CFE">
              <w:rPr>
                <w:rFonts w:ascii="Tahoma" w:hAnsi="Tahoma" w:cs="Tahoma"/>
                <w:b/>
                <w:sz w:val="16"/>
                <w:szCs w:val="16"/>
              </w:rPr>
              <w:t>6,000–9,000</w:t>
            </w:r>
          </w:p>
        </w:tc>
        <w:tc>
          <w:tcPr>
            <w:tcW w:w="600" w:type="pct"/>
            <w:vAlign w:val="center"/>
            <w:hideMark/>
          </w:tcPr>
          <w:p w:rsidR="00BA0814" w:rsidRPr="00C33CFE" w:rsidRDefault="00BA0814" w:rsidP="00092525">
            <w:pPr>
              <w:ind w:left="65" w:firstLine="0"/>
              <w:rPr>
                <w:rFonts w:ascii="Tahoma" w:hAnsi="Tahoma" w:cs="Tahoma"/>
                <w:b/>
                <w:sz w:val="16"/>
                <w:szCs w:val="16"/>
              </w:rPr>
            </w:pPr>
            <w:r w:rsidRPr="00C33CFE">
              <w:rPr>
                <w:rFonts w:ascii="Tahoma" w:hAnsi="Tahoma" w:cs="Tahoma"/>
                <w:b/>
                <w:sz w:val="16"/>
                <w:szCs w:val="16"/>
              </w:rPr>
              <w:t>5,000–8,000</w:t>
            </w:r>
          </w:p>
        </w:tc>
      </w:tr>
      <w:tr w:rsidR="00C33CFE" w:rsidRPr="00C33CFE" w:rsidTr="000174B1">
        <w:trPr>
          <w:tblCellSpacing w:w="15" w:type="dxa"/>
        </w:trPr>
        <w:tc>
          <w:tcPr>
            <w:tcW w:w="599" w:type="pct"/>
            <w:vAlign w:val="center"/>
            <w:hideMark/>
          </w:tcPr>
          <w:p w:rsidR="00BA0814" w:rsidRPr="00C33CFE" w:rsidRDefault="00BA0814" w:rsidP="00092525">
            <w:pPr>
              <w:ind w:left="189" w:firstLine="0"/>
              <w:rPr>
                <w:rFonts w:ascii="Tahoma" w:hAnsi="Tahoma" w:cs="Tahoma"/>
                <w:b/>
                <w:sz w:val="16"/>
                <w:szCs w:val="16"/>
              </w:rPr>
            </w:pPr>
            <w:r w:rsidRPr="00C33CFE">
              <w:rPr>
                <w:rFonts w:ascii="Tahoma" w:hAnsi="Tahoma" w:cs="Tahoma"/>
                <w:b/>
                <w:sz w:val="16"/>
                <w:szCs w:val="16"/>
              </w:rPr>
              <w:t>2021</w:t>
            </w:r>
          </w:p>
        </w:tc>
        <w:tc>
          <w:tcPr>
            <w:tcW w:w="608" w:type="pct"/>
            <w:vAlign w:val="center"/>
            <w:hideMark/>
          </w:tcPr>
          <w:p w:rsidR="00BA0814" w:rsidRPr="00C33CFE" w:rsidRDefault="00BA0814" w:rsidP="00092525">
            <w:pPr>
              <w:ind w:left="77" w:firstLine="0"/>
              <w:rPr>
                <w:rFonts w:ascii="Tahoma" w:hAnsi="Tahoma" w:cs="Tahoma"/>
                <w:b/>
                <w:sz w:val="16"/>
                <w:szCs w:val="16"/>
              </w:rPr>
            </w:pPr>
            <w:r w:rsidRPr="00C33CFE">
              <w:rPr>
                <w:rFonts w:ascii="Tahoma" w:hAnsi="Tahoma" w:cs="Tahoma"/>
                <w:b/>
                <w:sz w:val="16"/>
                <w:szCs w:val="16"/>
              </w:rPr>
              <w:t>9,000–11,000</w:t>
            </w:r>
          </w:p>
        </w:tc>
        <w:tc>
          <w:tcPr>
            <w:tcW w:w="608" w:type="pct"/>
            <w:vAlign w:val="center"/>
            <w:hideMark/>
          </w:tcPr>
          <w:p w:rsidR="00BA0814" w:rsidRPr="00C33CFE" w:rsidRDefault="00BA0814" w:rsidP="00092525">
            <w:pPr>
              <w:ind w:left="106" w:hanging="39"/>
              <w:rPr>
                <w:rFonts w:ascii="Tahoma" w:hAnsi="Tahoma" w:cs="Tahoma"/>
                <w:b/>
                <w:sz w:val="16"/>
                <w:szCs w:val="16"/>
              </w:rPr>
            </w:pPr>
            <w:r w:rsidRPr="00C33CFE">
              <w:rPr>
                <w:rFonts w:ascii="Tahoma" w:hAnsi="Tahoma" w:cs="Tahoma"/>
                <w:b/>
                <w:sz w:val="16"/>
                <w:szCs w:val="16"/>
              </w:rPr>
              <w:t>7,500–10,000</w:t>
            </w:r>
          </w:p>
        </w:tc>
        <w:tc>
          <w:tcPr>
            <w:tcW w:w="608" w:type="pct"/>
            <w:vAlign w:val="center"/>
            <w:hideMark/>
          </w:tcPr>
          <w:p w:rsidR="00BA0814" w:rsidRPr="00C33CFE" w:rsidRDefault="00BA0814" w:rsidP="00092525">
            <w:pPr>
              <w:ind w:left="230" w:firstLine="0"/>
              <w:rPr>
                <w:rFonts w:ascii="Tahoma" w:hAnsi="Tahoma" w:cs="Tahoma"/>
                <w:b/>
                <w:sz w:val="16"/>
                <w:szCs w:val="16"/>
              </w:rPr>
            </w:pPr>
            <w:r w:rsidRPr="00C33CFE">
              <w:rPr>
                <w:rFonts w:ascii="Tahoma" w:hAnsi="Tahoma" w:cs="Tahoma"/>
                <w:b/>
                <w:sz w:val="16"/>
                <w:szCs w:val="16"/>
              </w:rPr>
              <w:t>4,000–5,500</w:t>
            </w:r>
          </w:p>
        </w:tc>
        <w:tc>
          <w:tcPr>
            <w:tcW w:w="608" w:type="pct"/>
            <w:vAlign w:val="center"/>
            <w:hideMark/>
          </w:tcPr>
          <w:p w:rsidR="00BA0814" w:rsidRPr="00C33CFE" w:rsidRDefault="00BA0814" w:rsidP="00092525">
            <w:pPr>
              <w:ind w:left="120" w:firstLine="0"/>
              <w:rPr>
                <w:rFonts w:ascii="Tahoma" w:hAnsi="Tahoma" w:cs="Tahoma"/>
                <w:b/>
                <w:sz w:val="16"/>
                <w:szCs w:val="16"/>
              </w:rPr>
            </w:pPr>
            <w:r w:rsidRPr="00C33CFE">
              <w:rPr>
                <w:rFonts w:ascii="Tahoma" w:hAnsi="Tahoma" w:cs="Tahoma"/>
                <w:b/>
                <w:sz w:val="16"/>
                <w:szCs w:val="16"/>
              </w:rPr>
              <w:t>3,800–5,000</w:t>
            </w:r>
          </w:p>
        </w:tc>
        <w:tc>
          <w:tcPr>
            <w:tcW w:w="608" w:type="pct"/>
            <w:vAlign w:val="center"/>
            <w:hideMark/>
          </w:tcPr>
          <w:p w:rsidR="00BA0814" w:rsidRPr="00C33CFE" w:rsidRDefault="00BA0814" w:rsidP="00092525">
            <w:pPr>
              <w:ind w:left="268" w:firstLine="0"/>
              <w:rPr>
                <w:rFonts w:ascii="Tahoma" w:hAnsi="Tahoma" w:cs="Tahoma"/>
                <w:b/>
                <w:sz w:val="16"/>
                <w:szCs w:val="16"/>
              </w:rPr>
            </w:pPr>
            <w:r w:rsidRPr="00C33CFE">
              <w:rPr>
                <w:rFonts w:ascii="Tahoma" w:hAnsi="Tahoma" w:cs="Tahoma"/>
                <w:b/>
                <w:sz w:val="16"/>
                <w:szCs w:val="16"/>
              </w:rPr>
              <w:t>9,000–13,000</w:t>
            </w:r>
          </w:p>
        </w:tc>
        <w:tc>
          <w:tcPr>
            <w:tcW w:w="608" w:type="pct"/>
            <w:vAlign w:val="center"/>
            <w:hideMark/>
          </w:tcPr>
          <w:p w:rsidR="00BA0814" w:rsidRPr="00C33CFE" w:rsidRDefault="00BA0814" w:rsidP="00092525">
            <w:pPr>
              <w:ind w:left="149" w:firstLine="0"/>
              <w:rPr>
                <w:rFonts w:ascii="Tahoma" w:hAnsi="Tahoma" w:cs="Tahoma"/>
                <w:b/>
                <w:sz w:val="16"/>
                <w:szCs w:val="16"/>
              </w:rPr>
            </w:pPr>
            <w:r w:rsidRPr="00C33CFE">
              <w:rPr>
                <w:rFonts w:ascii="Tahoma" w:hAnsi="Tahoma" w:cs="Tahoma"/>
                <w:b/>
                <w:sz w:val="16"/>
                <w:szCs w:val="16"/>
              </w:rPr>
              <w:t>6,500–9,500</w:t>
            </w:r>
          </w:p>
        </w:tc>
        <w:tc>
          <w:tcPr>
            <w:tcW w:w="600" w:type="pct"/>
            <w:vAlign w:val="center"/>
            <w:hideMark/>
          </w:tcPr>
          <w:p w:rsidR="00BA0814" w:rsidRPr="00C33CFE" w:rsidRDefault="00BA0814" w:rsidP="00092525">
            <w:pPr>
              <w:ind w:left="65" w:firstLine="0"/>
              <w:rPr>
                <w:rFonts w:ascii="Tahoma" w:hAnsi="Tahoma" w:cs="Tahoma"/>
                <w:b/>
                <w:sz w:val="16"/>
                <w:szCs w:val="16"/>
              </w:rPr>
            </w:pPr>
            <w:r w:rsidRPr="00C33CFE">
              <w:rPr>
                <w:rFonts w:ascii="Tahoma" w:hAnsi="Tahoma" w:cs="Tahoma"/>
                <w:b/>
                <w:sz w:val="16"/>
                <w:szCs w:val="16"/>
              </w:rPr>
              <w:t>5,500–8,500</w:t>
            </w:r>
          </w:p>
        </w:tc>
      </w:tr>
      <w:tr w:rsidR="00C33CFE" w:rsidRPr="00C33CFE" w:rsidTr="000174B1">
        <w:trPr>
          <w:tblCellSpacing w:w="15" w:type="dxa"/>
        </w:trPr>
        <w:tc>
          <w:tcPr>
            <w:tcW w:w="599" w:type="pct"/>
            <w:vAlign w:val="center"/>
            <w:hideMark/>
          </w:tcPr>
          <w:p w:rsidR="00BA0814" w:rsidRPr="00C33CFE" w:rsidRDefault="00BA0814" w:rsidP="00092525">
            <w:pPr>
              <w:ind w:left="189" w:firstLine="0"/>
              <w:rPr>
                <w:rFonts w:ascii="Tahoma" w:hAnsi="Tahoma" w:cs="Tahoma"/>
                <w:b/>
                <w:sz w:val="16"/>
                <w:szCs w:val="16"/>
              </w:rPr>
            </w:pPr>
            <w:r w:rsidRPr="00C33CFE">
              <w:rPr>
                <w:rFonts w:ascii="Tahoma" w:hAnsi="Tahoma" w:cs="Tahoma"/>
                <w:b/>
                <w:sz w:val="16"/>
                <w:szCs w:val="16"/>
              </w:rPr>
              <w:t>2022</w:t>
            </w:r>
          </w:p>
        </w:tc>
        <w:tc>
          <w:tcPr>
            <w:tcW w:w="608" w:type="pct"/>
            <w:vAlign w:val="center"/>
            <w:hideMark/>
          </w:tcPr>
          <w:p w:rsidR="00BA0814" w:rsidRPr="00C33CFE" w:rsidRDefault="00BA0814" w:rsidP="00092525">
            <w:pPr>
              <w:ind w:left="77" w:firstLine="0"/>
              <w:rPr>
                <w:rFonts w:ascii="Tahoma" w:hAnsi="Tahoma" w:cs="Tahoma"/>
                <w:b/>
                <w:sz w:val="16"/>
                <w:szCs w:val="16"/>
              </w:rPr>
            </w:pPr>
            <w:r w:rsidRPr="00C33CFE">
              <w:rPr>
                <w:rFonts w:ascii="Tahoma" w:hAnsi="Tahoma" w:cs="Tahoma"/>
                <w:b/>
                <w:sz w:val="16"/>
                <w:szCs w:val="16"/>
              </w:rPr>
              <w:t>9,500–12,000</w:t>
            </w:r>
          </w:p>
        </w:tc>
        <w:tc>
          <w:tcPr>
            <w:tcW w:w="608" w:type="pct"/>
            <w:vAlign w:val="center"/>
            <w:hideMark/>
          </w:tcPr>
          <w:p w:rsidR="00BA0814" w:rsidRPr="00C33CFE" w:rsidRDefault="00BA0814" w:rsidP="00092525">
            <w:pPr>
              <w:ind w:left="106" w:hanging="39"/>
              <w:rPr>
                <w:rFonts w:ascii="Tahoma" w:hAnsi="Tahoma" w:cs="Tahoma"/>
                <w:b/>
                <w:sz w:val="16"/>
                <w:szCs w:val="16"/>
              </w:rPr>
            </w:pPr>
            <w:r w:rsidRPr="00C33CFE">
              <w:rPr>
                <w:rFonts w:ascii="Tahoma" w:hAnsi="Tahoma" w:cs="Tahoma"/>
                <w:b/>
                <w:sz w:val="16"/>
                <w:szCs w:val="16"/>
              </w:rPr>
              <w:t>8,000–11,000</w:t>
            </w:r>
          </w:p>
        </w:tc>
        <w:tc>
          <w:tcPr>
            <w:tcW w:w="608" w:type="pct"/>
            <w:vAlign w:val="center"/>
            <w:hideMark/>
          </w:tcPr>
          <w:p w:rsidR="00BA0814" w:rsidRPr="00C33CFE" w:rsidRDefault="00BA0814" w:rsidP="00092525">
            <w:pPr>
              <w:ind w:left="230" w:firstLine="0"/>
              <w:rPr>
                <w:rFonts w:ascii="Tahoma" w:hAnsi="Tahoma" w:cs="Tahoma"/>
                <w:b/>
                <w:sz w:val="16"/>
                <w:szCs w:val="16"/>
              </w:rPr>
            </w:pPr>
            <w:r w:rsidRPr="00C33CFE">
              <w:rPr>
                <w:rFonts w:ascii="Tahoma" w:hAnsi="Tahoma" w:cs="Tahoma"/>
                <w:b/>
                <w:sz w:val="16"/>
                <w:szCs w:val="16"/>
              </w:rPr>
              <w:t>4,500–6,000</w:t>
            </w:r>
          </w:p>
        </w:tc>
        <w:tc>
          <w:tcPr>
            <w:tcW w:w="608" w:type="pct"/>
            <w:vAlign w:val="center"/>
            <w:hideMark/>
          </w:tcPr>
          <w:p w:rsidR="00BA0814" w:rsidRPr="00C33CFE" w:rsidRDefault="00BA0814" w:rsidP="00092525">
            <w:pPr>
              <w:ind w:left="120" w:firstLine="0"/>
              <w:rPr>
                <w:rFonts w:ascii="Tahoma" w:hAnsi="Tahoma" w:cs="Tahoma"/>
                <w:b/>
                <w:sz w:val="16"/>
                <w:szCs w:val="16"/>
              </w:rPr>
            </w:pPr>
            <w:r w:rsidRPr="00C33CFE">
              <w:rPr>
                <w:rFonts w:ascii="Tahoma" w:hAnsi="Tahoma" w:cs="Tahoma"/>
                <w:b/>
                <w:sz w:val="16"/>
                <w:szCs w:val="16"/>
              </w:rPr>
              <w:t>4,200–5,500</w:t>
            </w:r>
          </w:p>
        </w:tc>
        <w:tc>
          <w:tcPr>
            <w:tcW w:w="608" w:type="pct"/>
            <w:vAlign w:val="center"/>
            <w:hideMark/>
          </w:tcPr>
          <w:p w:rsidR="00BA0814" w:rsidRPr="00C33CFE" w:rsidRDefault="00BA0814" w:rsidP="00092525">
            <w:pPr>
              <w:ind w:left="268" w:firstLine="0"/>
              <w:rPr>
                <w:rFonts w:ascii="Tahoma" w:hAnsi="Tahoma" w:cs="Tahoma"/>
                <w:b/>
                <w:sz w:val="16"/>
                <w:szCs w:val="16"/>
              </w:rPr>
            </w:pPr>
            <w:r w:rsidRPr="00C33CFE">
              <w:rPr>
                <w:rFonts w:ascii="Tahoma" w:hAnsi="Tahoma" w:cs="Tahoma"/>
                <w:b/>
                <w:sz w:val="16"/>
                <w:szCs w:val="16"/>
              </w:rPr>
              <w:t>10,000–14,000</w:t>
            </w:r>
          </w:p>
        </w:tc>
        <w:tc>
          <w:tcPr>
            <w:tcW w:w="608" w:type="pct"/>
            <w:vAlign w:val="center"/>
            <w:hideMark/>
          </w:tcPr>
          <w:p w:rsidR="00BA0814" w:rsidRPr="00C33CFE" w:rsidRDefault="00BA0814" w:rsidP="00092525">
            <w:pPr>
              <w:ind w:left="149" w:firstLine="0"/>
              <w:rPr>
                <w:rFonts w:ascii="Tahoma" w:hAnsi="Tahoma" w:cs="Tahoma"/>
                <w:b/>
                <w:sz w:val="16"/>
                <w:szCs w:val="16"/>
              </w:rPr>
            </w:pPr>
            <w:r w:rsidRPr="00C33CFE">
              <w:rPr>
                <w:rFonts w:ascii="Tahoma" w:hAnsi="Tahoma" w:cs="Tahoma"/>
                <w:b/>
                <w:sz w:val="16"/>
                <w:szCs w:val="16"/>
              </w:rPr>
              <w:t>7,000–10,000</w:t>
            </w:r>
          </w:p>
        </w:tc>
        <w:tc>
          <w:tcPr>
            <w:tcW w:w="600" w:type="pct"/>
            <w:vAlign w:val="center"/>
            <w:hideMark/>
          </w:tcPr>
          <w:p w:rsidR="00BA0814" w:rsidRPr="00C33CFE" w:rsidRDefault="00BA0814" w:rsidP="00092525">
            <w:pPr>
              <w:ind w:left="65" w:firstLine="0"/>
              <w:rPr>
                <w:rFonts w:ascii="Tahoma" w:hAnsi="Tahoma" w:cs="Tahoma"/>
                <w:b/>
                <w:sz w:val="16"/>
                <w:szCs w:val="16"/>
              </w:rPr>
            </w:pPr>
            <w:r w:rsidRPr="00C33CFE">
              <w:rPr>
                <w:rFonts w:ascii="Tahoma" w:hAnsi="Tahoma" w:cs="Tahoma"/>
                <w:b/>
                <w:sz w:val="16"/>
                <w:szCs w:val="16"/>
              </w:rPr>
              <w:t>6,000–9,000</w:t>
            </w:r>
          </w:p>
        </w:tc>
      </w:tr>
      <w:tr w:rsidR="00C33CFE" w:rsidRPr="00C33CFE" w:rsidTr="000174B1">
        <w:trPr>
          <w:tblCellSpacing w:w="15" w:type="dxa"/>
        </w:trPr>
        <w:tc>
          <w:tcPr>
            <w:tcW w:w="599" w:type="pct"/>
            <w:vAlign w:val="center"/>
            <w:hideMark/>
          </w:tcPr>
          <w:p w:rsidR="00BA0814" w:rsidRPr="00C33CFE" w:rsidRDefault="00BA0814" w:rsidP="00092525">
            <w:pPr>
              <w:ind w:left="189" w:firstLine="0"/>
              <w:rPr>
                <w:rFonts w:ascii="Tahoma" w:hAnsi="Tahoma" w:cs="Tahoma"/>
                <w:b/>
                <w:sz w:val="16"/>
                <w:szCs w:val="16"/>
              </w:rPr>
            </w:pPr>
            <w:r w:rsidRPr="00C33CFE">
              <w:rPr>
                <w:rFonts w:ascii="Tahoma" w:hAnsi="Tahoma" w:cs="Tahoma"/>
                <w:b/>
                <w:sz w:val="16"/>
                <w:szCs w:val="16"/>
              </w:rPr>
              <w:t>2023</w:t>
            </w:r>
          </w:p>
        </w:tc>
        <w:tc>
          <w:tcPr>
            <w:tcW w:w="608" w:type="pct"/>
            <w:vAlign w:val="center"/>
            <w:hideMark/>
          </w:tcPr>
          <w:p w:rsidR="00BA0814" w:rsidRPr="00C33CFE" w:rsidRDefault="00BA0814" w:rsidP="00092525">
            <w:pPr>
              <w:ind w:left="77" w:firstLine="0"/>
              <w:rPr>
                <w:rFonts w:ascii="Tahoma" w:hAnsi="Tahoma" w:cs="Tahoma"/>
                <w:b/>
                <w:sz w:val="16"/>
                <w:szCs w:val="16"/>
              </w:rPr>
            </w:pPr>
            <w:r w:rsidRPr="00C33CFE">
              <w:rPr>
                <w:rFonts w:ascii="Tahoma" w:hAnsi="Tahoma" w:cs="Tahoma"/>
                <w:b/>
                <w:sz w:val="16"/>
                <w:szCs w:val="16"/>
              </w:rPr>
              <w:t>10,000–13,000</w:t>
            </w:r>
          </w:p>
        </w:tc>
        <w:tc>
          <w:tcPr>
            <w:tcW w:w="608" w:type="pct"/>
            <w:vAlign w:val="center"/>
            <w:hideMark/>
          </w:tcPr>
          <w:p w:rsidR="00BA0814" w:rsidRPr="00C33CFE" w:rsidRDefault="00BA0814" w:rsidP="00092525">
            <w:pPr>
              <w:ind w:left="106" w:hanging="39"/>
              <w:rPr>
                <w:rFonts w:ascii="Tahoma" w:hAnsi="Tahoma" w:cs="Tahoma"/>
                <w:b/>
                <w:sz w:val="16"/>
                <w:szCs w:val="16"/>
              </w:rPr>
            </w:pPr>
            <w:r w:rsidRPr="00C33CFE">
              <w:rPr>
                <w:rFonts w:ascii="Tahoma" w:hAnsi="Tahoma" w:cs="Tahoma"/>
                <w:b/>
                <w:sz w:val="16"/>
                <w:szCs w:val="16"/>
              </w:rPr>
              <w:t>8,500–12,000</w:t>
            </w:r>
          </w:p>
        </w:tc>
        <w:tc>
          <w:tcPr>
            <w:tcW w:w="608" w:type="pct"/>
            <w:vAlign w:val="center"/>
            <w:hideMark/>
          </w:tcPr>
          <w:p w:rsidR="00BA0814" w:rsidRPr="00C33CFE" w:rsidRDefault="00BA0814" w:rsidP="00092525">
            <w:pPr>
              <w:ind w:left="230" w:firstLine="0"/>
              <w:rPr>
                <w:rFonts w:ascii="Tahoma" w:hAnsi="Tahoma" w:cs="Tahoma"/>
                <w:b/>
                <w:sz w:val="16"/>
                <w:szCs w:val="16"/>
              </w:rPr>
            </w:pPr>
            <w:r w:rsidRPr="00C33CFE">
              <w:rPr>
                <w:rFonts w:ascii="Tahoma" w:hAnsi="Tahoma" w:cs="Tahoma"/>
                <w:b/>
                <w:sz w:val="16"/>
                <w:szCs w:val="16"/>
              </w:rPr>
              <w:t>4,800–6,500</w:t>
            </w:r>
          </w:p>
        </w:tc>
        <w:tc>
          <w:tcPr>
            <w:tcW w:w="608" w:type="pct"/>
            <w:vAlign w:val="center"/>
            <w:hideMark/>
          </w:tcPr>
          <w:p w:rsidR="00BA0814" w:rsidRPr="00C33CFE" w:rsidRDefault="00BA0814" w:rsidP="00092525">
            <w:pPr>
              <w:ind w:left="120" w:firstLine="0"/>
              <w:rPr>
                <w:rFonts w:ascii="Tahoma" w:hAnsi="Tahoma" w:cs="Tahoma"/>
                <w:b/>
                <w:sz w:val="16"/>
                <w:szCs w:val="16"/>
              </w:rPr>
            </w:pPr>
            <w:r w:rsidRPr="00C33CFE">
              <w:rPr>
                <w:rFonts w:ascii="Tahoma" w:hAnsi="Tahoma" w:cs="Tahoma"/>
                <w:b/>
                <w:sz w:val="16"/>
                <w:szCs w:val="16"/>
              </w:rPr>
              <w:t>4,500–6,000</w:t>
            </w:r>
          </w:p>
        </w:tc>
        <w:tc>
          <w:tcPr>
            <w:tcW w:w="608" w:type="pct"/>
            <w:vAlign w:val="center"/>
            <w:hideMark/>
          </w:tcPr>
          <w:p w:rsidR="00BA0814" w:rsidRPr="00C33CFE" w:rsidRDefault="00BA0814" w:rsidP="00092525">
            <w:pPr>
              <w:ind w:left="268" w:firstLine="0"/>
              <w:rPr>
                <w:rFonts w:ascii="Tahoma" w:hAnsi="Tahoma" w:cs="Tahoma"/>
                <w:b/>
                <w:sz w:val="16"/>
                <w:szCs w:val="16"/>
              </w:rPr>
            </w:pPr>
            <w:r w:rsidRPr="00C33CFE">
              <w:rPr>
                <w:rFonts w:ascii="Tahoma" w:hAnsi="Tahoma" w:cs="Tahoma"/>
                <w:b/>
                <w:sz w:val="16"/>
                <w:szCs w:val="16"/>
              </w:rPr>
              <w:t>10,500–15,000</w:t>
            </w:r>
          </w:p>
        </w:tc>
        <w:tc>
          <w:tcPr>
            <w:tcW w:w="608" w:type="pct"/>
            <w:vAlign w:val="center"/>
            <w:hideMark/>
          </w:tcPr>
          <w:p w:rsidR="00BA0814" w:rsidRPr="00C33CFE" w:rsidRDefault="00BA0814" w:rsidP="00092525">
            <w:pPr>
              <w:ind w:left="149" w:firstLine="0"/>
              <w:rPr>
                <w:rFonts w:ascii="Tahoma" w:hAnsi="Tahoma" w:cs="Tahoma"/>
                <w:b/>
                <w:sz w:val="16"/>
                <w:szCs w:val="16"/>
              </w:rPr>
            </w:pPr>
            <w:r w:rsidRPr="00C33CFE">
              <w:rPr>
                <w:rFonts w:ascii="Tahoma" w:hAnsi="Tahoma" w:cs="Tahoma"/>
                <w:b/>
                <w:sz w:val="16"/>
                <w:szCs w:val="16"/>
              </w:rPr>
              <w:t>7,500–11,000</w:t>
            </w:r>
          </w:p>
        </w:tc>
        <w:tc>
          <w:tcPr>
            <w:tcW w:w="600" w:type="pct"/>
            <w:vAlign w:val="center"/>
            <w:hideMark/>
          </w:tcPr>
          <w:p w:rsidR="00BA0814" w:rsidRPr="00C33CFE" w:rsidRDefault="00BA0814" w:rsidP="00092525">
            <w:pPr>
              <w:ind w:left="65" w:firstLine="0"/>
              <w:rPr>
                <w:rFonts w:ascii="Tahoma" w:hAnsi="Tahoma" w:cs="Tahoma"/>
                <w:b/>
                <w:sz w:val="16"/>
                <w:szCs w:val="16"/>
              </w:rPr>
            </w:pPr>
            <w:r w:rsidRPr="00C33CFE">
              <w:rPr>
                <w:rFonts w:ascii="Tahoma" w:hAnsi="Tahoma" w:cs="Tahoma"/>
                <w:b/>
                <w:sz w:val="16"/>
                <w:szCs w:val="16"/>
              </w:rPr>
              <w:t>6,500–10,000</w:t>
            </w:r>
          </w:p>
        </w:tc>
      </w:tr>
      <w:tr w:rsidR="00C33CFE" w:rsidRPr="00C33CFE" w:rsidTr="000174B1">
        <w:trPr>
          <w:tblCellSpacing w:w="15" w:type="dxa"/>
        </w:trPr>
        <w:tc>
          <w:tcPr>
            <w:tcW w:w="599" w:type="pct"/>
            <w:vAlign w:val="center"/>
            <w:hideMark/>
          </w:tcPr>
          <w:p w:rsidR="00BA0814" w:rsidRPr="00C33CFE" w:rsidRDefault="00BA0814" w:rsidP="00092525">
            <w:pPr>
              <w:ind w:left="189" w:firstLine="0"/>
              <w:rPr>
                <w:rFonts w:ascii="Tahoma" w:hAnsi="Tahoma" w:cs="Tahoma"/>
                <w:b/>
                <w:sz w:val="16"/>
                <w:szCs w:val="16"/>
              </w:rPr>
            </w:pPr>
            <w:r w:rsidRPr="00C33CFE">
              <w:rPr>
                <w:rFonts w:ascii="Tahoma" w:hAnsi="Tahoma" w:cs="Tahoma"/>
                <w:b/>
                <w:sz w:val="16"/>
                <w:szCs w:val="16"/>
              </w:rPr>
              <w:t>2024</w:t>
            </w:r>
          </w:p>
        </w:tc>
        <w:tc>
          <w:tcPr>
            <w:tcW w:w="608" w:type="pct"/>
            <w:vAlign w:val="center"/>
            <w:hideMark/>
          </w:tcPr>
          <w:p w:rsidR="00BA0814" w:rsidRPr="00C33CFE" w:rsidRDefault="00BA0814" w:rsidP="00092525">
            <w:pPr>
              <w:ind w:left="77" w:firstLine="0"/>
              <w:rPr>
                <w:rFonts w:ascii="Tahoma" w:hAnsi="Tahoma" w:cs="Tahoma"/>
                <w:b/>
                <w:sz w:val="16"/>
                <w:szCs w:val="16"/>
              </w:rPr>
            </w:pPr>
            <w:r w:rsidRPr="00C33CFE">
              <w:rPr>
                <w:rFonts w:ascii="Tahoma" w:hAnsi="Tahoma" w:cs="Tahoma"/>
                <w:b/>
                <w:sz w:val="16"/>
                <w:szCs w:val="16"/>
              </w:rPr>
              <w:t>11,000–15,000</w:t>
            </w:r>
          </w:p>
        </w:tc>
        <w:tc>
          <w:tcPr>
            <w:tcW w:w="608" w:type="pct"/>
            <w:vAlign w:val="center"/>
            <w:hideMark/>
          </w:tcPr>
          <w:p w:rsidR="00BA0814" w:rsidRPr="00C33CFE" w:rsidRDefault="00BA0814" w:rsidP="00092525">
            <w:pPr>
              <w:ind w:left="106" w:hanging="39"/>
              <w:rPr>
                <w:rFonts w:ascii="Tahoma" w:hAnsi="Tahoma" w:cs="Tahoma"/>
                <w:b/>
                <w:sz w:val="16"/>
                <w:szCs w:val="16"/>
              </w:rPr>
            </w:pPr>
            <w:r w:rsidRPr="00C33CFE">
              <w:rPr>
                <w:rFonts w:ascii="Tahoma" w:hAnsi="Tahoma" w:cs="Tahoma"/>
                <w:b/>
                <w:sz w:val="16"/>
                <w:szCs w:val="16"/>
              </w:rPr>
              <w:t>9,000–13,000</w:t>
            </w:r>
          </w:p>
        </w:tc>
        <w:tc>
          <w:tcPr>
            <w:tcW w:w="608" w:type="pct"/>
            <w:vAlign w:val="center"/>
            <w:hideMark/>
          </w:tcPr>
          <w:p w:rsidR="00BA0814" w:rsidRPr="00C33CFE" w:rsidRDefault="00BA0814" w:rsidP="00092525">
            <w:pPr>
              <w:ind w:left="230" w:firstLine="0"/>
              <w:rPr>
                <w:rFonts w:ascii="Tahoma" w:hAnsi="Tahoma" w:cs="Tahoma"/>
                <w:b/>
                <w:sz w:val="16"/>
                <w:szCs w:val="16"/>
              </w:rPr>
            </w:pPr>
            <w:r w:rsidRPr="00C33CFE">
              <w:rPr>
                <w:rFonts w:ascii="Tahoma" w:hAnsi="Tahoma" w:cs="Tahoma"/>
                <w:b/>
                <w:sz w:val="16"/>
                <w:szCs w:val="16"/>
              </w:rPr>
              <w:t>5,000–7,000</w:t>
            </w:r>
          </w:p>
        </w:tc>
        <w:tc>
          <w:tcPr>
            <w:tcW w:w="608" w:type="pct"/>
            <w:vAlign w:val="center"/>
            <w:hideMark/>
          </w:tcPr>
          <w:p w:rsidR="00BA0814" w:rsidRPr="00C33CFE" w:rsidRDefault="00BA0814" w:rsidP="00092525">
            <w:pPr>
              <w:ind w:left="120" w:firstLine="0"/>
              <w:rPr>
                <w:rFonts w:ascii="Tahoma" w:hAnsi="Tahoma" w:cs="Tahoma"/>
                <w:b/>
                <w:sz w:val="16"/>
                <w:szCs w:val="16"/>
              </w:rPr>
            </w:pPr>
            <w:r w:rsidRPr="00C33CFE">
              <w:rPr>
                <w:rFonts w:ascii="Tahoma" w:hAnsi="Tahoma" w:cs="Tahoma"/>
                <w:b/>
                <w:sz w:val="16"/>
                <w:szCs w:val="16"/>
              </w:rPr>
              <w:t>4,800–6,500</w:t>
            </w:r>
          </w:p>
        </w:tc>
        <w:tc>
          <w:tcPr>
            <w:tcW w:w="608" w:type="pct"/>
            <w:vAlign w:val="center"/>
            <w:hideMark/>
          </w:tcPr>
          <w:p w:rsidR="00BA0814" w:rsidRPr="00C33CFE" w:rsidRDefault="00BA0814" w:rsidP="00092525">
            <w:pPr>
              <w:ind w:left="268" w:firstLine="0"/>
              <w:rPr>
                <w:rFonts w:ascii="Tahoma" w:hAnsi="Tahoma" w:cs="Tahoma"/>
                <w:b/>
                <w:sz w:val="16"/>
                <w:szCs w:val="16"/>
              </w:rPr>
            </w:pPr>
            <w:r w:rsidRPr="00C33CFE">
              <w:rPr>
                <w:rFonts w:ascii="Tahoma" w:hAnsi="Tahoma" w:cs="Tahoma"/>
                <w:b/>
                <w:sz w:val="16"/>
                <w:szCs w:val="16"/>
              </w:rPr>
              <w:t>11,500–17,000</w:t>
            </w:r>
          </w:p>
        </w:tc>
        <w:tc>
          <w:tcPr>
            <w:tcW w:w="608" w:type="pct"/>
            <w:vAlign w:val="center"/>
            <w:hideMark/>
          </w:tcPr>
          <w:p w:rsidR="00BA0814" w:rsidRPr="00C33CFE" w:rsidRDefault="00BA0814" w:rsidP="00092525">
            <w:pPr>
              <w:ind w:left="149" w:firstLine="0"/>
              <w:rPr>
                <w:rFonts w:ascii="Tahoma" w:hAnsi="Tahoma" w:cs="Tahoma"/>
                <w:b/>
                <w:sz w:val="16"/>
                <w:szCs w:val="16"/>
              </w:rPr>
            </w:pPr>
            <w:r w:rsidRPr="00C33CFE">
              <w:rPr>
                <w:rFonts w:ascii="Tahoma" w:hAnsi="Tahoma" w:cs="Tahoma"/>
                <w:b/>
                <w:sz w:val="16"/>
                <w:szCs w:val="16"/>
              </w:rPr>
              <w:t>8,000–12,000</w:t>
            </w:r>
          </w:p>
        </w:tc>
        <w:tc>
          <w:tcPr>
            <w:tcW w:w="600" w:type="pct"/>
            <w:vAlign w:val="center"/>
            <w:hideMark/>
          </w:tcPr>
          <w:p w:rsidR="00BA0814" w:rsidRPr="00C33CFE" w:rsidRDefault="00BA0814" w:rsidP="00092525">
            <w:pPr>
              <w:ind w:left="65" w:firstLine="0"/>
              <w:rPr>
                <w:rFonts w:ascii="Tahoma" w:hAnsi="Tahoma" w:cs="Tahoma"/>
                <w:b/>
                <w:sz w:val="16"/>
                <w:szCs w:val="16"/>
              </w:rPr>
            </w:pPr>
            <w:r w:rsidRPr="00C33CFE">
              <w:rPr>
                <w:rFonts w:ascii="Tahoma" w:hAnsi="Tahoma" w:cs="Tahoma"/>
                <w:b/>
                <w:sz w:val="16"/>
                <w:szCs w:val="16"/>
              </w:rPr>
              <w:t>7,000–12,000</w:t>
            </w:r>
          </w:p>
        </w:tc>
      </w:tr>
      <w:tr w:rsidR="00C33CFE" w:rsidRPr="00C33CFE" w:rsidTr="000174B1">
        <w:trPr>
          <w:tblCellSpacing w:w="15" w:type="dxa"/>
        </w:trPr>
        <w:tc>
          <w:tcPr>
            <w:tcW w:w="599" w:type="pct"/>
            <w:vAlign w:val="center"/>
            <w:hideMark/>
          </w:tcPr>
          <w:p w:rsidR="00BA0814" w:rsidRPr="00C33CFE" w:rsidRDefault="00BA0814" w:rsidP="00092525">
            <w:pPr>
              <w:ind w:left="189" w:firstLine="0"/>
              <w:rPr>
                <w:rFonts w:ascii="Tahoma" w:hAnsi="Tahoma" w:cs="Tahoma"/>
                <w:b/>
                <w:sz w:val="16"/>
                <w:szCs w:val="16"/>
              </w:rPr>
            </w:pPr>
            <w:r w:rsidRPr="00C33CFE">
              <w:rPr>
                <w:rFonts w:ascii="Tahoma" w:hAnsi="Tahoma" w:cs="Tahoma"/>
                <w:b/>
                <w:sz w:val="16"/>
                <w:szCs w:val="16"/>
              </w:rPr>
              <w:t>2025</w:t>
            </w:r>
          </w:p>
        </w:tc>
        <w:tc>
          <w:tcPr>
            <w:tcW w:w="608" w:type="pct"/>
            <w:vAlign w:val="center"/>
            <w:hideMark/>
          </w:tcPr>
          <w:p w:rsidR="00BA0814" w:rsidRPr="00C33CFE" w:rsidRDefault="00BA0814" w:rsidP="00092525">
            <w:pPr>
              <w:ind w:left="77" w:firstLine="0"/>
              <w:rPr>
                <w:rFonts w:ascii="Tahoma" w:hAnsi="Tahoma" w:cs="Tahoma"/>
                <w:b/>
                <w:sz w:val="16"/>
                <w:szCs w:val="16"/>
              </w:rPr>
            </w:pPr>
            <w:r w:rsidRPr="00C33CFE">
              <w:rPr>
                <w:rFonts w:ascii="Tahoma" w:hAnsi="Tahoma" w:cs="Tahoma"/>
                <w:b/>
                <w:sz w:val="16"/>
                <w:szCs w:val="16"/>
              </w:rPr>
              <w:t>12,000–18,000</w:t>
            </w:r>
          </w:p>
        </w:tc>
        <w:tc>
          <w:tcPr>
            <w:tcW w:w="608" w:type="pct"/>
            <w:vAlign w:val="center"/>
            <w:hideMark/>
          </w:tcPr>
          <w:p w:rsidR="00BA0814" w:rsidRPr="00C33CFE" w:rsidRDefault="00BA0814" w:rsidP="00092525">
            <w:pPr>
              <w:ind w:left="106" w:hanging="39"/>
              <w:rPr>
                <w:rFonts w:ascii="Tahoma" w:hAnsi="Tahoma" w:cs="Tahoma"/>
                <w:b/>
                <w:sz w:val="16"/>
                <w:szCs w:val="16"/>
              </w:rPr>
            </w:pPr>
            <w:r w:rsidRPr="00C33CFE">
              <w:rPr>
                <w:rFonts w:ascii="Tahoma" w:hAnsi="Tahoma" w:cs="Tahoma"/>
                <w:b/>
                <w:sz w:val="16"/>
                <w:szCs w:val="16"/>
              </w:rPr>
              <w:t>10,000–16,000</w:t>
            </w:r>
          </w:p>
        </w:tc>
        <w:tc>
          <w:tcPr>
            <w:tcW w:w="608" w:type="pct"/>
            <w:vAlign w:val="center"/>
            <w:hideMark/>
          </w:tcPr>
          <w:p w:rsidR="00BA0814" w:rsidRPr="00C33CFE" w:rsidRDefault="00BA0814" w:rsidP="00092525">
            <w:pPr>
              <w:ind w:left="230" w:firstLine="0"/>
              <w:rPr>
                <w:rFonts w:ascii="Tahoma" w:hAnsi="Tahoma" w:cs="Tahoma"/>
                <w:b/>
                <w:sz w:val="16"/>
                <w:szCs w:val="16"/>
              </w:rPr>
            </w:pPr>
            <w:r w:rsidRPr="00C33CFE">
              <w:rPr>
                <w:rFonts w:ascii="Tahoma" w:hAnsi="Tahoma" w:cs="Tahoma"/>
                <w:b/>
                <w:sz w:val="16"/>
                <w:szCs w:val="16"/>
              </w:rPr>
              <w:t>5,000–8,000</w:t>
            </w:r>
          </w:p>
        </w:tc>
        <w:tc>
          <w:tcPr>
            <w:tcW w:w="608" w:type="pct"/>
            <w:vAlign w:val="center"/>
            <w:hideMark/>
          </w:tcPr>
          <w:p w:rsidR="00BA0814" w:rsidRPr="00C33CFE" w:rsidRDefault="00BA0814" w:rsidP="00092525">
            <w:pPr>
              <w:ind w:left="120" w:firstLine="0"/>
              <w:rPr>
                <w:rFonts w:ascii="Tahoma" w:hAnsi="Tahoma" w:cs="Tahoma"/>
                <w:b/>
                <w:sz w:val="16"/>
                <w:szCs w:val="16"/>
              </w:rPr>
            </w:pPr>
            <w:r w:rsidRPr="00C33CFE">
              <w:rPr>
                <w:rFonts w:ascii="Tahoma" w:hAnsi="Tahoma" w:cs="Tahoma"/>
                <w:b/>
                <w:sz w:val="16"/>
                <w:szCs w:val="16"/>
              </w:rPr>
              <w:t>5,000–7,000</w:t>
            </w:r>
          </w:p>
        </w:tc>
        <w:tc>
          <w:tcPr>
            <w:tcW w:w="608" w:type="pct"/>
            <w:vAlign w:val="center"/>
            <w:hideMark/>
          </w:tcPr>
          <w:p w:rsidR="00BA0814" w:rsidRPr="00C33CFE" w:rsidRDefault="00BA0814" w:rsidP="00092525">
            <w:pPr>
              <w:ind w:left="268" w:firstLine="0"/>
              <w:rPr>
                <w:rFonts w:ascii="Tahoma" w:hAnsi="Tahoma" w:cs="Tahoma"/>
                <w:b/>
                <w:sz w:val="16"/>
                <w:szCs w:val="16"/>
              </w:rPr>
            </w:pPr>
            <w:r w:rsidRPr="00C33CFE">
              <w:rPr>
                <w:rFonts w:ascii="Tahoma" w:hAnsi="Tahoma" w:cs="Tahoma"/>
                <w:b/>
                <w:sz w:val="16"/>
                <w:szCs w:val="16"/>
              </w:rPr>
              <w:t>12,000–20,000</w:t>
            </w:r>
          </w:p>
        </w:tc>
        <w:tc>
          <w:tcPr>
            <w:tcW w:w="608" w:type="pct"/>
            <w:vAlign w:val="center"/>
            <w:hideMark/>
          </w:tcPr>
          <w:p w:rsidR="00BA0814" w:rsidRPr="00C33CFE" w:rsidRDefault="00BA0814" w:rsidP="00092525">
            <w:pPr>
              <w:ind w:left="149" w:firstLine="0"/>
              <w:rPr>
                <w:rFonts w:ascii="Tahoma" w:hAnsi="Tahoma" w:cs="Tahoma"/>
                <w:b/>
                <w:sz w:val="16"/>
                <w:szCs w:val="16"/>
              </w:rPr>
            </w:pPr>
            <w:r w:rsidRPr="00C33CFE">
              <w:rPr>
                <w:rFonts w:ascii="Tahoma" w:hAnsi="Tahoma" w:cs="Tahoma"/>
                <w:b/>
                <w:sz w:val="16"/>
                <w:szCs w:val="16"/>
              </w:rPr>
              <w:t>8,000–15,000</w:t>
            </w:r>
          </w:p>
        </w:tc>
        <w:tc>
          <w:tcPr>
            <w:tcW w:w="600" w:type="pct"/>
            <w:vAlign w:val="center"/>
            <w:hideMark/>
          </w:tcPr>
          <w:p w:rsidR="00BA0814" w:rsidRPr="00C33CFE" w:rsidRDefault="00BA0814" w:rsidP="00092525">
            <w:pPr>
              <w:ind w:left="65" w:firstLine="0"/>
              <w:rPr>
                <w:rFonts w:ascii="Tahoma" w:hAnsi="Tahoma" w:cs="Tahoma"/>
                <w:b/>
                <w:sz w:val="16"/>
                <w:szCs w:val="16"/>
              </w:rPr>
            </w:pPr>
            <w:r w:rsidRPr="00C33CFE">
              <w:rPr>
                <w:rFonts w:ascii="Tahoma" w:hAnsi="Tahoma" w:cs="Tahoma"/>
                <w:b/>
                <w:sz w:val="16"/>
                <w:szCs w:val="16"/>
              </w:rPr>
              <w:t>7,000–14,000</w:t>
            </w:r>
          </w:p>
        </w:tc>
      </w:tr>
    </w:tbl>
    <w:p w:rsidR="00951298" w:rsidRPr="00C33CFE" w:rsidRDefault="0070703C" w:rsidP="00FB2B6A">
      <w:pPr>
        <w:pStyle w:val="nota-justify"/>
        <w:jc w:val="both"/>
        <w:rPr>
          <w:rFonts w:ascii="Tahoma" w:hAnsi="Tahoma" w:cs="Tahoma"/>
        </w:rPr>
      </w:pPr>
      <w:r w:rsidRPr="00C33CFE">
        <w:rPr>
          <w:rFonts w:ascii="Tahoma" w:hAnsi="Tahoma" w:cs="Tahoma"/>
        </w:rPr>
        <w:t>En la construcción de un estado de Bienestar y en correlación a los proyectos nacionales como ejes del programa de la 4T y el Renacimiento Maya, apreciamos como</w:t>
      </w:r>
      <w:r w:rsidR="00951298" w:rsidRPr="00C33CFE">
        <w:rPr>
          <w:rFonts w:ascii="Tahoma" w:hAnsi="Tahoma" w:cs="Tahoma"/>
        </w:rPr>
        <w:t xml:space="preserve"> necesario agilizar la construcción de viviendas tanto para alquiler como para venta, incluso con incentivos para la población.</w:t>
      </w:r>
    </w:p>
    <w:p w:rsidR="00951298" w:rsidRPr="00C33CFE" w:rsidRDefault="00951298" w:rsidP="00FB2B6A">
      <w:pPr>
        <w:pStyle w:val="nota-justify"/>
        <w:jc w:val="both"/>
        <w:rPr>
          <w:rFonts w:ascii="Tahoma" w:hAnsi="Tahoma" w:cs="Tahoma"/>
        </w:rPr>
      </w:pPr>
      <w:r w:rsidRPr="00C33CFE">
        <w:rPr>
          <w:rFonts w:ascii="Tahoma" w:hAnsi="Tahoma" w:cs="Tahoma"/>
        </w:rPr>
        <w:t>Tenemos que hacer un esfuerzo por buscar estos modelos</w:t>
      </w:r>
      <w:r w:rsidR="0070703C" w:rsidRPr="00C33CFE">
        <w:rPr>
          <w:rFonts w:ascii="Tahoma" w:hAnsi="Tahoma" w:cs="Tahoma"/>
        </w:rPr>
        <w:t xml:space="preserve">. Sirve de ejemplo el nuevo modelo normativo implementado en la ciudad de México y el Estado de Baja California que con productos legislativos responsables y de avanzada con el acento en los que más lo necesitan, han hecho reformas en sus leyes </w:t>
      </w:r>
      <w:r w:rsidRPr="00C33CFE">
        <w:rPr>
          <w:rFonts w:ascii="Tahoma" w:hAnsi="Tahoma" w:cs="Tahoma"/>
        </w:rPr>
        <w:t>propiciando una reducción del costo de la vivienda mediante la intervención del gobierno</w:t>
      </w:r>
      <w:r w:rsidR="00F4006A" w:rsidRPr="00C33CFE">
        <w:rPr>
          <w:rFonts w:ascii="Tahoma" w:hAnsi="Tahoma" w:cs="Tahoma"/>
        </w:rPr>
        <w:t>.</w:t>
      </w:r>
    </w:p>
    <w:p w:rsidR="00951298" w:rsidRPr="00C33CFE" w:rsidRDefault="00951298" w:rsidP="00FB2B6A">
      <w:pPr>
        <w:pStyle w:val="nota-justify"/>
        <w:jc w:val="both"/>
        <w:rPr>
          <w:rFonts w:ascii="Tahoma" w:hAnsi="Tahoma" w:cs="Tahoma"/>
        </w:rPr>
      </w:pPr>
      <w:r w:rsidRPr="00C33CFE">
        <w:rPr>
          <w:rFonts w:ascii="Tahoma" w:hAnsi="Tahoma" w:cs="Tahoma"/>
        </w:rPr>
        <w:t xml:space="preserve">Ante esto, es necesario que </w:t>
      </w:r>
      <w:r w:rsidR="00F4006A" w:rsidRPr="00C33CFE">
        <w:rPr>
          <w:rFonts w:ascii="Tahoma" w:hAnsi="Tahoma" w:cs="Tahoma"/>
        </w:rPr>
        <w:t>en Yucatán, estado con alta demanda inmobiliaria, se</w:t>
      </w:r>
      <w:r w:rsidRPr="00C33CFE">
        <w:rPr>
          <w:rFonts w:ascii="Tahoma" w:hAnsi="Tahoma" w:cs="Tahoma"/>
        </w:rPr>
        <w:t xml:space="preserve"> generen mecanismos para que la población pueda </w:t>
      </w:r>
      <w:r w:rsidR="00F4006A" w:rsidRPr="00C33CFE">
        <w:rPr>
          <w:rFonts w:ascii="Tahoma" w:hAnsi="Tahoma" w:cs="Tahoma"/>
        </w:rPr>
        <w:t>ampliar derechos y tener sustento legal y obligatorio para que la dinámica de interés mercantilista le generé zozobra en un tema tan singular y apremiante en la vida social como lo es el pago de renta de cas</w:t>
      </w:r>
      <w:r w:rsidR="00893551" w:rsidRPr="00C33CFE">
        <w:rPr>
          <w:rFonts w:ascii="Tahoma" w:hAnsi="Tahoma" w:cs="Tahoma"/>
        </w:rPr>
        <w:t>a</w:t>
      </w:r>
      <w:r w:rsidR="00F4006A" w:rsidRPr="00C33CFE">
        <w:rPr>
          <w:rFonts w:ascii="Tahoma" w:hAnsi="Tahoma" w:cs="Tahoma"/>
        </w:rPr>
        <w:t xml:space="preserve"> habitación y como legisladores es</w:t>
      </w:r>
      <w:r w:rsidRPr="00C33CFE">
        <w:rPr>
          <w:rFonts w:ascii="Tahoma" w:hAnsi="Tahoma" w:cs="Tahoma"/>
        </w:rPr>
        <w:t xml:space="preserve"> importante </w:t>
      </w:r>
      <w:r w:rsidR="00893551" w:rsidRPr="00C33CFE">
        <w:rPr>
          <w:rFonts w:ascii="Tahoma" w:hAnsi="Tahoma" w:cs="Tahoma"/>
        </w:rPr>
        <w:t>legislar</w:t>
      </w:r>
      <w:r w:rsidRPr="00C33CFE">
        <w:rPr>
          <w:rFonts w:ascii="Tahoma" w:hAnsi="Tahoma" w:cs="Tahoma"/>
        </w:rPr>
        <w:t xml:space="preserve"> de manera </w:t>
      </w:r>
      <w:r w:rsidR="00893551" w:rsidRPr="00C33CFE">
        <w:rPr>
          <w:rFonts w:ascii="Tahoma" w:hAnsi="Tahoma" w:cs="Tahoma"/>
        </w:rPr>
        <w:t>responsable</w:t>
      </w:r>
      <w:r w:rsidRPr="00C33CFE">
        <w:rPr>
          <w:rFonts w:ascii="Tahoma" w:hAnsi="Tahoma" w:cs="Tahoma"/>
        </w:rPr>
        <w:t xml:space="preserve"> para ayudar a que la gente tenga vivienda</w:t>
      </w:r>
      <w:r w:rsidR="00F4006A" w:rsidRPr="00C33CFE">
        <w:rPr>
          <w:rFonts w:ascii="Tahoma" w:hAnsi="Tahoma" w:cs="Tahoma"/>
        </w:rPr>
        <w:t xml:space="preserve"> y rentas justas</w:t>
      </w:r>
      <w:r w:rsidRPr="00C33CFE">
        <w:rPr>
          <w:rFonts w:ascii="Tahoma" w:hAnsi="Tahoma" w:cs="Tahoma"/>
        </w:rPr>
        <w:t>.</w:t>
      </w:r>
    </w:p>
    <w:p w:rsidR="00CE7713" w:rsidRDefault="003202DA" w:rsidP="00FB2B6A">
      <w:pPr>
        <w:ind w:firstLine="0"/>
        <w:rPr>
          <w:rFonts w:ascii="Tahoma" w:eastAsia="Times New Roman" w:hAnsi="Tahoma" w:cs="Tahoma"/>
          <w:kern w:val="0"/>
          <w:shd w:val="clear" w:color="auto" w:fill="FFFFFF"/>
          <w:lang w:val="es-MX" w:eastAsia="es-MX"/>
          <w14:ligatures w14:val="none"/>
        </w:rPr>
      </w:pPr>
      <w:r w:rsidRPr="00C33CFE">
        <w:rPr>
          <w:rFonts w:ascii="Tahoma" w:eastAsia="Times New Roman" w:hAnsi="Tahoma" w:cs="Tahoma"/>
          <w:kern w:val="0"/>
          <w:lang w:val="es-MX" w:eastAsia="es-MX"/>
          <w14:ligatures w14:val="none"/>
        </w:rPr>
        <w:t xml:space="preserve">El problema de las </w:t>
      </w:r>
      <w:r w:rsidR="00893551" w:rsidRPr="00C33CFE">
        <w:rPr>
          <w:rFonts w:ascii="Tahoma" w:eastAsia="Times New Roman" w:hAnsi="Tahoma" w:cs="Tahoma"/>
          <w:kern w:val="0"/>
          <w:lang w:val="es-MX" w:eastAsia="es-MX"/>
          <w14:ligatures w14:val="none"/>
        </w:rPr>
        <w:t xml:space="preserve">rentas, </w:t>
      </w:r>
      <w:r w:rsidRPr="00C33CFE">
        <w:rPr>
          <w:rFonts w:ascii="Tahoma" w:eastAsia="Times New Roman" w:hAnsi="Tahoma" w:cs="Tahoma"/>
          <w:kern w:val="0"/>
          <w:lang w:val="es-MX" w:eastAsia="es-MX"/>
          <w14:ligatures w14:val="none"/>
        </w:rPr>
        <w:t>radica en la crisis de asequibilidad habitacional, donde el costo del alquiler supera el crecimiento de los ingresos, destinando más del 30% del salario al pago de vivienda</w:t>
      </w:r>
      <w:r w:rsidRPr="00C33CFE">
        <w:rPr>
          <w:rFonts w:ascii="Tahoma" w:eastAsia="Times New Roman" w:hAnsi="Tahoma" w:cs="Tahoma"/>
          <w:kern w:val="0"/>
          <w:shd w:val="clear" w:color="auto" w:fill="FFFFFF"/>
          <w:lang w:val="es-MX" w:eastAsia="es-MX"/>
          <w14:ligatures w14:val="none"/>
        </w:rPr>
        <w:t xml:space="preserve">. Esto genera escasez, ineficiencia, deterioro del parque habitacional y tensiones sociales, </w:t>
      </w:r>
      <w:r w:rsidR="00893551" w:rsidRPr="00C33CFE">
        <w:rPr>
          <w:rFonts w:ascii="Tahoma" w:eastAsia="Times New Roman" w:hAnsi="Tahoma" w:cs="Tahoma"/>
          <w:kern w:val="0"/>
          <w:shd w:val="clear" w:color="auto" w:fill="FFFFFF"/>
          <w:lang w:val="es-MX" w:eastAsia="es-MX"/>
          <w14:ligatures w14:val="none"/>
        </w:rPr>
        <w:t>justificación suficiente para establecer</w:t>
      </w:r>
      <w:r w:rsidRPr="00C33CFE">
        <w:rPr>
          <w:rFonts w:ascii="Tahoma" w:eastAsia="Times New Roman" w:hAnsi="Tahoma" w:cs="Tahoma"/>
          <w:kern w:val="0"/>
          <w:shd w:val="clear" w:color="auto" w:fill="FFFFFF"/>
          <w:lang w:val="es-MX" w:eastAsia="es-MX"/>
          <w14:ligatures w14:val="none"/>
        </w:rPr>
        <w:t xml:space="preserve"> reformas regulatorias que top</w:t>
      </w:r>
      <w:r w:rsidR="00893551" w:rsidRPr="00C33CFE">
        <w:rPr>
          <w:rFonts w:ascii="Tahoma" w:eastAsia="Times New Roman" w:hAnsi="Tahoma" w:cs="Tahoma"/>
          <w:kern w:val="0"/>
          <w:shd w:val="clear" w:color="auto" w:fill="FFFFFF"/>
          <w:lang w:val="es-MX" w:eastAsia="es-MX"/>
          <w14:ligatures w14:val="none"/>
        </w:rPr>
        <w:t>e</w:t>
      </w:r>
      <w:r w:rsidRPr="00C33CFE">
        <w:rPr>
          <w:rFonts w:ascii="Tahoma" w:eastAsia="Times New Roman" w:hAnsi="Tahoma" w:cs="Tahoma"/>
          <w:kern w:val="0"/>
          <w:shd w:val="clear" w:color="auto" w:fill="FFFFFF"/>
          <w:lang w:val="es-MX" w:eastAsia="es-MX"/>
          <w14:ligatures w14:val="none"/>
        </w:rPr>
        <w:t xml:space="preserve">n precios </w:t>
      </w:r>
      <w:r w:rsidR="00893551" w:rsidRPr="00C33CFE">
        <w:rPr>
          <w:rFonts w:ascii="Tahoma" w:eastAsia="Times New Roman" w:hAnsi="Tahoma" w:cs="Tahoma"/>
          <w:kern w:val="0"/>
          <w:shd w:val="clear" w:color="auto" w:fill="FFFFFF"/>
          <w:lang w:val="es-MX" w:eastAsia="es-MX"/>
          <w14:ligatures w14:val="none"/>
        </w:rPr>
        <w:t>sin</w:t>
      </w:r>
      <w:r w:rsidRPr="00C33CFE">
        <w:rPr>
          <w:rFonts w:ascii="Tahoma" w:eastAsia="Times New Roman" w:hAnsi="Tahoma" w:cs="Tahoma"/>
          <w:kern w:val="0"/>
          <w:shd w:val="clear" w:color="auto" w:fill="FFFFFF"/>
          <w:lang w:val="es-MX" w:eastAsia="es-MX"/>
          <w14:ligatures w14:val="none"/>
        </w:rPr>
        <w:t xml:space="preserve"> desincentivar la </w:t>
      </w:r>
      <w:r w:rsidR="00893551" w:rsidRPr="00C33CFE">
        <w:rPr>
          <w:rFonts w:ascii="Tahoma" w:eastAsia="Times New Roman" w:hAnsi="Tahoma" w:cs="Tahoma"/>
          <w:kern w:val="0"/>
          <w:shd w:val="clear" w:color="auto" w:fill="FFFFFF"/>
          <w:lang w:val="es-MX" w:eastAsia="es-MX"/>
          <w14:ligatures w14:val="none"/>
        </w:rPr>
        <w:t>oferta. Tomando en consideración las recientes reformas en algunas de las entidades de nuestro país, así como las terminaciones jurídicas que en dicho orden han emitido  la máxima instancia jurisdiccional en México, se configura la pr</w:t>
      </w:r>
      <w:r w:rsidR="00FB2B6A" w:rsidRPr="00C33CFE">
        <w:rPr>
          <w:rFonts w:ascii="Tahoma" w:eastAsia="Times New Roman" w:hAnsi="Tahoma" w:cs="Tahoma"/>
          <w:kern w:val="0"/>
          <w:shd w:val="clear" w:color="auto" w:fill="FFFFFF"/>
          <w:lang w:val="es-MX" w:eastAsia="es-MX"/>
          <w14:ligatures w14:val="none"/>
        </w:rPr>
        <w:t>o</w:t>
      </w:r>
      <w:r w:rsidR="00893551" w:rsidRPr="00C33CFE">
        <w:rPr>
          <w:rFonts w:ascii="Tahoma" w:eastAsia="Times New Roman" w:hAnsi="Tahoma" w:cs="Tahoma"/>
          <w:kern w:val="0"/>
          <w:shd w:val="clear" w:color="auto" w:fill="FFFFFF"/>
          <w:lang w:val="es-MX" w:eastAsia="es-MX"/>
          <w14:ligatures w14:val="none"/>
        </w:rPr>
        <w:t>puesta que se pondrá a consideración de este órgano legislativo</w:t>
      </w:r>
      <w:r w:rsidR="00FB2B6A" w:rsidRPr="00C33CFE">
        <w:rPr>
          <w:rFonts w:ascii="Tahoma" w:eastAsia="Times New Roman" w:hAnsi="Tahoma" w:cs="Tahoma"/>
          <w:kern w:val="0"/>
          <w:shd w:val="clear" w:color="auto" w:fill="FFFFFF"/>
          <w:lang w:val="es-MX" w:eastAsia="es-MX"/>
          <w14:ligatures w14:val="none"/>
        </w:rPr>
        <w:t>,</w:t>
      </w:r>
      <w:r w:rsidR="00893551" w:rsidRPr="00C33CFE">
        <w:rPr>
          <w:rFonts w:ascii="Tahoma" w:eastAsia="Times New Roman" w:hAnsi="Tahoma" w:cs="Tahoma"/>
          <w:kern w:val="0"/>
          <w:shd w:val="clear" w:color="auto" w:fill="FFFFFF"/>
          <w:lang w:val="es-MX" w:eastAsia="es-MX"/>
          <w14:ligatures w14:val="none"/>
        </w:rPr>
        <w:t xml:space="preserve"> </w:t>
      </w:r>
      <w:r w:rsidR="00FB2B6A" w:rsidRPr="00C33CFE">
        <w:rPr>
          <w:rFonts w:ascii="Tahoma" w:eastAsia="Times New Roman" w:hAnsi="Tahoma" w:cs="Tahoma"/>
          <w:kern w:val="0"/>
          <w:shd w:val="clear" w:color="auto" w:fill="FFFFFF"/>
          <w:lang w:val="es-MX" w:eastAsia="es-MX"/>
          <w14:ligatures w14:val="none"/>
        </w:rPr>
        <w:t>haciéndose</w:t>
      </w:r>
      <w:r w:rsidR="00893551" w:rsidRPr="00C33CFE">
        <w:rPr>
          <w:rFonts w:ascii="Tahoma" w:eastAsia="Times New Roman" w:hAnsi="Tahoma" w:cs="Tahoma"/>
          <w:kern w:val="0"/>
          <w:shd w:val="clear" w:color="auto" w:fill="FFFFFF"/>
          <w:lang w:val="es-MX" w:eastAsia="es-MX"/>
          <w14:ligatures w14:val="none"/>
        </w:rPr>
        <w:t xml:space="preserve"> consideración de </w:t>
      </w:r>
      <w:r w:rsidR="00FB2B6A" w:rsidRPr="00C33CFE">
        <w:rPr>
          <w:rFonts w:ascii="Tahoma" w:eastAsia="Times New Roman" w:hAnsi="Tahoma" w:cs="Tahoma"/>
          <w:kern w:val="0"/>
          <w:shd w:val="clear" w:color="auto" w:fill="FFFFFF"/>
          <w:lang w:val="es-MX" w:eastAsia="es-MX"/>
          <w14:ligatures w14:val="none"/>
        </w:rPr>
        <w:t>los</w:t>
      </w:r>
      <w:r w:rsidR="00893551" w:rsidRPr="00C33CFE">
        <w:rPr>
          <w:rFonts w:ascii="Tahoma" w:eastAsia="Times New Roman" w:hAnsi="Tahoma" w:cs="Tahoma"/>
          <w:kern w:val="0"/>
          <w:shd w:val="clear" w:color="auto" w:fill="FFFFFF"/>
          <w:lang w:val="es-MX" w:eastAsia="es-MX"/>
          <w14:ligatures w14:val="none"/>
        </w:rPr>
        <w:t xml:space="preserve"> siguientes elementos: </w:t>
      </w:r>
      <w:r w:rsidR="00CE7713" w:rsidRPr="00C33CFE">
        <w:rPr>
          <w:rFonts w:ascii="Tahoma" w:eastAsia="Times New Roman" w:hAnsi="Tahoma" w:cs="Tahoma"/>
          <w:vanish/>
          <w:kern w:val="0"/>
          <w:lang w:val="es-MX" w:eastAsia="es-MX"/>
          <w14:ligatures w14:val="none"/>
        </w:rPr>
        <w:t>Principio del formulario</w:t>
      </w:r>
    </w:p>
    <w:p w:rsidR="005658CA" w:rsidRPr="00C33CFE" w:rsidRDefault="005658CA" w:rsidP="00FB2B6A">
      <w:pPr>
        <w:ind w:firstLine="0"/>
        <w:rPr>
          <w:rFonts w:ascii="Tahoma" w:eastAsia="Times New Roman" w:hAnsi="Tahoma" w:cs="Tahoma"/>
          <w:kern w:val="0"/>
          <w:shd w:val="clear" w:color="auto" w:fill="FFFFFF"/>
          <w:lang w:val="es-MX" w:eastAsia="es-MX"/>
          <w14:ligatures w14:val="none"/>
        </w:rPr>
      </w:pPr>
    </w:p>
    <w:p w:rsidR="00CE7713" w:rsidRPr="004B76A9" w:rsidRDefault="00CE7713" w:rsidP="004B76A9">
      <w:pPr>
        <w:numPr>
          <w:ilvl w:val="0"/>
          <w:numId w:val="3"/>
        </w:numPr>
        <w:shd w:val="clear" w:color="auto" w:fill="FFFFFF"/>
        <w:spacing w:after="180" w:line="360" w:lineRule="atLeast"/>
        <w:rPr>
          <w:rFonts w:ascii="Tahoma" w:eastAsia="Times New Roman" w:hAnsi="Tahoma" w:cs="Tahoma"/>
          <w:kern w:val="0"/>
          <w:lang w:val="es-MX" w:eastAsia="es-MX"/>
          <w14:ligatures w14:val="none"/>
        </w:rPr>
      </w:pPr>
      <w:r w:rsidRPr="004B76A9">
        <w:rPr>
          <w:rFonts w:ascii="Tahoma" w:eastAsia="Times New Roman" w:hAnsi="Tahoma" w:cs="Tahoma"/>
          <w:b/>
          <w:bCs/>
          <w:kern w:val="0"/>
          <w:lang w:val="es-MX" w:eastAsia="es-MX"/>
          <w14:ligatures w14:val="none"/>
        </w:rPr>
        <w:t>Tope a la inflación (SCJN):</w:t>
      </w:r>
      <w:r w:rsidRPr="004B76A9">
        <w:rPr>
          <w:rFonts w:ascii="Tahoma" w:eastAsia="Times New Roman" w:hAnsi="Tahoma" w:cs="Tahoma"/>
          <w:kern w:val="0"/>
          <w:lang w:val="es-MX" w:eastAsia="es-MX"/>
          <w14:ligatures w14:val="none"/>
        </w:rPr>
        <w:t> La Suprema Corte de Justicia de la Nación en México validó que el aumento anual de las rentas no puede superar la inflación del año anterior, un freno legal a aumentos discrecionales.</w:t>
      </w:r>
    </w:p>
    <w:p w:rsidR="00CE7713" w:rsidRPr="004B76A9" w:rsidRDefault="00CE7713" w:rsidP="004B76A9">
      <w:pPr>
        <w:numPr>
          <w:ilvl w:val="0"/>
          <w:numId w:val="3"/>
        </w:numPr>
        <w:shd w:val="clear" w:color="auto" w:fill="FFFFFF"/>
        <w:spacing w:after="180" w:line="360" w:lineRule="atLeast"/>
        <w:rPr>
          <w:rFonts w:ascii="Tahoma" w:eastAsia="Times New Roman" w:hAnsi="Tahoma" w:cs="Tahoma"/>
          <w:kern w:val="0"/>
          <w:lang w:val="es-MX" w:eastAsia="es-MX"/>
          <w14:ligatures w14:val="none"/>
        </w:rPr>
      </w:pPr>
      <w:r w:rsidRPr="004B76A9">
        <w:rPr>
          <w:rFonts w:ascii="Tahoma" w:eastAsia="Times New Roman" w:hAnsi="Tahoma" w:cs="Tahoma"/>
          <w:b/>
          <w:bCs/>
          <w:kern w:val="0"/>
          <w:lang w:val="es-MX" w:eastAsia="es-MX"/>
          <w14:ligatures w14:val="none"/>
        </w:rPr>
        <w:t>Registro de contratos:</w:t>
      </w:r>
      <w:r w:rsidRPr="004B76A9">
        <w:rPr>
          <w:rFonts w:ascii="Tahoma" w:eastAsia="Times New Roman" w:hAnsi="Tahoma" w:cs="Tahoma"/>
          <w:kern w:val="0"/>
          <w:lang w:val="es-MX" w:eastAsia="es-MX"/>
          <w14:ligatures w14:val="none"/>
        </w:rPr>
        <w:t> Se está obligando a los arrendadores a registrar sus contratos para garantizar que los aumentos respeten el tope inflacionario.</w:t>
      </w:r>
    </w:p>
    <w:p w:rsidR="00DE48B5" w:rsidRDefault="005728F1" w:rsidP="00DE48B5">
      <w:pPr>
        <w:ind w:firstLine="0"/>
        <w:rPr>
          <w:rFonts w:ascii="Tahoma" w:hAnsi="Tahoma" w:cs="Tahoma"/>
        </w:rPr>
      </w:pPr>
      <w:r w:rsidRPr="00C33CFE">
        <w:rPr>
          <w:rFonts w:ascii="Tahoma" w:hAnsi="Tahoma" w:cs="Tahoma"/>
          <w:lang w:val="es-ES"/>
        </w:rPr>
        <w:t>La iniciativa que se presenta tiene como objetivo fundamental proponer una reforma al Código Civil de</w:t>
      </w:r>
      <w:r w:rsidR="00FB2B6A" w:rsidRPr="00C33CFE">
        <w:rPr>
          <w:rFonts w:ascii="Tahoma" w:hAnsi="Tahoma" w:cs="Tahoma"/>
          <w:lang w:val="es-ES"/>
        </w:rPr>
        <w:t>l Estado de Yucatán</w:t>
      </w:r>
      <w:r w:rsidRPr="00C33CFE">
        <w:rPr>
          <w:rFonts w:ascii="Tahoma" w:hAnsi="Tahoma" w:cs="Tahoma"/>
          <w:lang w:val="es-ES"/>
        </w:rPr>
        <w:t xml:space="preserve"> y a la Ley de </w:t>
      </w:r>
      <w:r w:rsidR="00FB2B6A" w:rsidRPr="00C33CFE">
        <w:rPr>
          <w:rFonts w:ascii="Tahoma" w:hAnsi="Tahoma" w:cs="Tahoma"/>
          <w:lang w:val="es-ES"/>
        </w:rPr>
        <w:t>Vivienda</w:t>
      </w:r>
      <w:r w:rsidRPr="00C33CFE">
        <w:rPr>
          <w:rFonts w:ascii="Tahoma" w:hAnsi="Tahoma" w:cs="Tahoma"/>
          <w:lang w:val="es-ES"/>
        </w:rPr>
        <w:t xml:space="preserve"> de la entidad, estableciendo una regulación específica sobre el incremento anual de las rentas de inmuebles. La reforma plantea que los aumentos en las rentas no podrán superar el porcentaje de inflación reportado por el Banco de México durante el año anterior. Además, se propone la creación de mecanismos de vigilancia y transparencia que permitan a los arrendatarios conocer y exigir el cumplimiento de esta regulación, evitando así prácticas abusivas por parte de los propietarios. Esta medida busca proteger a los arrendatarios de incrementos excesivos, garantizando una mayor estabilidad económica y social, en especial para aquellos sectores más vulnerables de la población que enfrentan serias dificultades para acceder a un alquiler adecuado. De este modo, se promueve un mercado de alquiler más justo y equilibrado, donde tanto propietarios como inquilinos puedan ejercer sus derechos de manera clara y equitativa. </w:t>
      </w:r>
      <w:r w:rsidRPr="00C33CFE">
        <w:rPr>
          <w:rFonts w:ascii="Tahoma" w:hAnsi="Tahoma" w:cs="Tahoma"/>
        </w:rPr>
        <w:t xml:space="preserve"> </w:t>
      </w:r>
    </w:p>
    <w:p w:rsidR="001C69DE" w:rsidRPr="00C33CFE" w:rsidRDefault="001C69DE" w:rsidP="00DE48B5">
      <w:pPr>
        <w:ind w:firstLine="0"/>
        <w:rPr>
          <w:rFonts w:ascii="Tahoma" w:hAnsi="Tahoma" w:cs="Tahoma"/>
        </w:rPr>
      </w:pPr>
    </w:p>
    <w:p w:rsidR="006D638F" w:rsidRDefault="006D638F" w:rsidP="00DE48B5">
      <w:pPr>
        <w:ind w:firstLine="0"/>
        <w:rPr>
          <w:rFonts w:ascii="Tahoma" w:hAnsi="Tahoma" w:cs="Tahoma"/>
        </w:rPr>
      </w:pPr>
      <w:r w:rsidRPr="00C33CFE">
        <w:rPr>
          <w:rFonts w:ascii="Tahoma" w:hAnsi="Tahoma" w:cs="Tahoma"/>
        </w:rPr>
        <w:t>Para ser más ilustrativa la iniciativa de Reforma a continuación se presenta cuadro comparativo de la misma.</w:t>
      </w:r>
    </w:p>
    <w:p w:rsidR="001C69DE" w:rsidRPr="00C33CFE" w:rsidRDefault="001C69DE" w:rsidP="00DE48B5">
      <w:pPr>
        <w:ind w:firstLine="0"/>
        <w:rPr>
          <w:rFonts w:ascii="Tahoma" w:hAnsi="Tahoma" w:cs="Tahoma"/>
        </w:rPr>
      </w:pPr>
    </w:p>
    <w:p w:rsidR="006D638F" w:rsidRDefault="006D638F" w:rsidP="00DE48B5">
      <w:pPr>
        <w:ind w:firstLine="0"/>
        <w:rPr>
          <w:rFonts w:ascii="Tahoma" w:hAnsi="Tahoma" w:cs="Tahoma"/>
        </w:rPr>
      </w:pPr>
      <w:r w:rsidRPr="00C33CFE">
        <w:rPr>
          <w:rFonts w:ascii="Tahoma" w:hAnsi="Tahoma" w:cs="Tahoma"/>
        </w:rPr>
        <w:t>REFORMA LA CÓDIGO CIVIL DEL Estado DE YUCATÁN</w:t>
      </w:r>
    </w:p>
    <w:p w:rsidR="005658CA" w:rsidRPr="00C33CFE" w:rsidRDefault="005658CA" w:rsidP="00DE48B5">
      <w:pPr>
        <w:ind w:firstLine="0"/>
        <w:rPr>
          <w:rFonts w:ascii="Tahoma" w:hAnsi="Tahoma" w:cs="Tahoma"/>
        </w:rPr>
      </w:pPr>
    </w:p>
    <w:tbl>
      <w:tblPr>
        <w:tblStyle w:val="Tablaconcuadrcula"/>
        <w:tblW w:w="5000" w:type="pct"/>
        <w:tblLook w:val="04A0" w:firstRow="1" w:lastRow="0" w:firstColumn="1" w:lastColumn="0" w:noHBand="0" w:noVBand="1"/>
      </w:tblPr>
      <w:tblGrid>
        <w:gridCol w:w="4414"/>
        <w:gridCol w:w="4414"/>
      </w:tblGrid>
      <w:tr w:rsidR="00C33CFE" w:rsidRPr="00C33CFE" w:rsidTr="00E2061F">
        <w:tc>
          <w:tcPr>
            <w:tcW w:w="5000" w:type="pct"/>
            <w:gridSpan w:val="2"/>
          </w:tcPr>
          <w:p w:rsidR="006D638F" w:rsidRDefault="006D638F" w:rsidP="00E2061F">
            <w:pPr>
              <w:ind w:firstLine="0"/>
              <w:jc w:val="center"/>
              <w:rPr>
                <w:rFonts w:ascii="Tahoma" w:hAnsi="Tahoma" w:cs="Tahoma"/>
                <w:b/>
                <w:sz w:val="22"/>
                <w:szCs w:val="22"/>
              </w:rPr>
            </w:pPr>
            <w:r w:rsidRPr="00C33CFE">
              <w:rPr>
                <w:rFonts w:ascii="Tahoma" w:hAnsi="Tahoma" w:cs="Tahoma"/>
                <w:b/>
                <w:sz w:val="22"/>
                <w:szCs w:val="22"/>
              </w:rPr>
              <w:t>CÓDIGO CIVIL DEL ESTADO DE YUCATÁN</w:t>
            </w:r>
          </w:p>
          <w:p w:rsidR="00C33CFE" w:rsidRPr="00C33CFE" w:rsidRDefault="00C33CFE" w:rsidP="00E2061F">
            <w:pPr>
              <w:ind w:firstLine="0"/>
              <w:jc w:val="center"/>
              <w:rPr>
                <w:rFonts w:ascii="Tahoma" w:hAnsi="Tahoma" w:cs="Tahoma"/>
                <w:b/>
                <w:sz w:val="22"/>
                <w:szCs w:val="22"/>
              </w:rPr>
            </w:pPr>
          </w:p>
        </w:tc>
      </w:tr>
      <w:tr w:rsidR="00C33CFE" w:rsidRPr="00C33CFE" w:rsidTr="00E2061F">
        <w:tc>
          <w:tcPr>
            <w:tcW w:w="2500" w:type="pct"/>
            <w:tcBorders>
              <w:bottom w:val="single" w:sz="4" w:space="0" w:color="auto"/>
            </w:tcBorders>
          </w:tcPr>
          <w:p w:rsidR="006D638F" w:rsidRPr="00C33CFE" w:rsidRDefault="006D638F" w:rsidP="00E2061F">
            <w:pPr>
              <w:ind w:firstLine="0"/>
              <w:jc w:val="center"/>
              <w:rPr>
                <w:rFonts w:ascii="Tahoma" w:hAnsi="Tahoma" w:cs="Tahoma"/>
                <w:sz w:val="22"/>
                <w:szCs w:val="22"/>
              </w:rPr>
            </w:pPr>
            <w:r w:rsidRPr="00C33CFE">
              <w:rPr>
                <w:rFonts w:ascii="Tahoma" w:hAnsi="Tahoma" w:cs="Tahoma"/>
                <w:sz w:val="22"/>
                <w:szCs w:val="22"/>
              </w:rPr>
              <w:t>TEXTO PREVIO</w:t>
            </w:r>
          </w:p>
        </w:tc>
        <w:tc>
          <w:tcPr>
            <w:tcW w:w="2500" w:type="pct"/>
            <w:tcBorders>
              <w:bottom w:val="single" w:sz="4" w:space="0" w:color="auto"/>
            </w:tcBorders>
          </w:tcPr>
          <w:p w:rsidR="006D638F" w:rsidRPr="00C33CFE" w:rsidRDefault="006D638F" w:rsidP="00E2061F">
            <w:pPr>
              <w:ind w:firstLine="0"/>
              <w:jc w:val="center"/>
              <w:rPr>
                <w:rFonts w:ascii="Tahoma" w:hAnsi="Tahoma" w:cs="Tahoma"/>
                <w:sz w:val="22"/>
                <w:szCs w:val="22"/>
              </w:rPr>
            </w:pPr>
            <w:r w:rsidRPr="00C33CFE">
              <w:rPr>
                <w:rFonts w:ascii="Tahoma" w:hAnsi="Tahoma" w:cs="Tahoma"/>
                <w:sz w:val="22"/>
                <w:szCs w:val="22"/>
              </w:rPr>
              <w:t>TEXTO REFORMADO</w:t>
            </w:r>
          </w:p>
        </w:tc>
      </w:tr>
      <w:tr w:rsidR="00C33CFE" w:rsidRPr="00C33CFE" w:rsidTr="00E2061F">
        <w:tc>
          <w:tcPr>
            <w:tcW w:w="2500" w:type="pct"/>
            <w:tcBorders>
              <w:bottom w:val="single" w:sz="4" w:space="0" w:color="auto"/>
            </w:tcBorders>
          </w:tcPr>
          <w:p w:rsidR="006D638F" w:rsidRPr="00C33CFE" w:rsidRDefault="006D638F" w:rsidP="00E2061F">
            <w:pPr>
              <w:ind w:firstLine="0"/>
              <w:rPr>
                <w:rFonts w:ascii="Tahoma" w:hAnsi="Tahoma" w:cs="Tahoma"/>
                <w:b/>
                <w:sz w:val="22"/>
                <w:szCs w:val="22"/>
                <w:lang w:val="es-MX"/>
              </w:rPr>
            </w:pPr>
            <w:r w:rsidRPr="00C33CFE">
              <w:rPr>
                <w:rFonts w:ascii="Tahoma" w:hAnsi="Tahoma" w:cs="Tahoma"/>
                <w:b/>
                <w:sz w:val="22"/>
                <w:szCs w:val="22"/>
                <w:lang w:val="es-MX"/>
              </w:rPr>
              <w:t>Sin correlativo</w:t>
            </w:r>
          </w:p>
        </w:tc>
        <w:tc>
          <w:tcPr>
            <w:tcW w:w="2500" w:type="pct"/>
            <w:tcBorders>
              <w:bottom w:val="single" w:sz="4" w:space="0" w:color="auto"/>
            </w:tcBorders>
          </w:tcPr>
          <w:p w:rsidR="008C3374" w:rsidRDefault="008C3374" w:rsidP="00E2061F">
            <w:pPr>
              <w:ind w:firstLine="0"/>
              <w:rPr>
                <w:rFonts w:ascii="Tahoma" w:hAnsi="Tahoma" w:cs="Tahoma"/>
                <w:b/>
                <w:sz w:val="22"/>
                <w:szCs w:val="22"/>
              </w:rPr>
            </w:pPr>
            <w:r w:rsidRPr="002412C4">
              <w:rPr>
                <w:rFonts w:ascii="Tahoma" w:hAnsi="Tahoma" w:cs="Tahoma"/>
                <w:b/>
                <w:sz w:val="22"/>
                <w:szCs w:val="22"/>
                <w:lang w:val="es-MX"/>
              </w:rPr>
              <w:t xml:space="preserve">Artículo 1573 bis </w:t>
            </w:r>
            <w:r w:rsidRPr="002412C4">
              <w:rPr>
                <w:rFonts w:ascii="Tahoma" w:hAnsi="Tahoma" w:cs="Tahoma"/>
                <w:b/>
                <w:sz w:val="22"/>
                <w:szCs w:val="22"/>
              </w:rPr>
              <w:t>Se establecerá un registro digital de contratos</w:t>
            </w:r>
            <w:r>
              <w:rPr>
                <w:rFonts w:ascii="Tahoma" w:hAnsi="Tahoma" w:cs="Tahoma"/>
                <w:b/>
                <w:sz w:val="22"/>
                <w:szCs w:val="22"/>
              </w:rPr>
              <w:t xml:space="preserve"> por medio de los cuales se pacte el uso, desalojo o alquiler</w:t>
            </w:r>
            <w:r w:rsidRPr="002412C4">
              <w:rPr>
                <w:rFonts w:ascii="Tahoma" w:hAnsi="Tahoma" w:cs="Tahoma"/>
                <w:b/>
                <w:sz w:val="22"/>
                <w:szCs w:val="22"/>
              </w:rPr>
              <w:t>, de autorización inmediata, a cargo del Gobierno del Estado de Yucatán y para tales efectos el arrendador deberá registrar sus contratos en un plazo no mayor a 30 días de celebrado el contrato</w:t>
            </w:r>
            <w:r>
              <w:rPr>
                <w:rFonts w:ascii="Tahoma" w:hAnsi="Tahoma" w:cs="Tahoma"/>
                <w:b/>
                <w:sz w:val="22"/>
                <w:szCs w:val="22"/>
              </w:rPr>
              <w:t>.</w:t>
            </w:r>
          </w:p>
          <w:p w:rsidR="008C3374" w:rsidRPr="00C33CFE" w:rsidRDefault="008C3374" w:rsidP="00E2061F">
            <w:pPr>
              <w:ind w:firstLine="0"/>
              <w:rPr>
                <w:rFonts w:ascii="Tahoma" w:hAnsi="Tahoma" w:cs="Tahoma"/>
                <w:b/>
                <w:sz w:val="22"/>
                <w:szCs w:val="22"/>
              </w:rPr>
            </w:pPr>
          </w:p>
          <w:p w:rsidR="006D638F" w:rsidRPr="00C33CFE" w:rsidRDefault="006D638F" w:rsidP="00E2061F">
            <w:pPr>
              <w:ind w:firstLine="0"/>
              <w:rPr>
                <w:rFonts w:ascii="Tahoma" w:hAnsi="Tahoma" w:cs="Tahoma"/>
                <w:b/>
                <w:sz w:val="22"/>
                <w:szCs w:val="22"/>
                <w:lang w:val="es-MX"/>
              </w:rPr>
            </w:pPr>
            <w:r w:rsidRPr="00C33CFE">
              <w:rPr>
                <w:rFonts w:ascii="Tahoma" w:hAnsi="Tahoma" w:cs="Tahoma"/>
                <w:b/>
                <w:sz w:val="22"/>
                <w:szCs w:val="22"/>
                <w:lang w:val="es-MX"/>
              </w:rPr>
              <w:t xml:space="preserve">El registro a que se refiere el párrafo anterior se regirá de conformidad con los criterios de la ley de transparencia y acceso a la información pública del Estado de Yucatán, la </w:t>
            </w:r>
            <w:r w:rsidRPr="00C33CFE">
              <w:rPr>
                <w:rFonts w:ascii="Tahoma" w:hAnsi="Tahoma" w:cs="Tahoma"/>
                <w:b/>
                <w:sz w:val="22"/>
                <w:szCs w:val="22"/>
                <w:shd w:val="clear" w:color="auto" w:fill="FFFFFF"/>
              </w:rPr>
              <w:t>Ley De Protección De Datos Personales En Posesión De Sujetos Obligados Del Estado De Yucatán</w:t>
            </w:r>
            <w:r w:rsidRPr="00C33CFE">
              <w:rPr>
                <w:rFonts w:ascii="Tahoma" w:hAnsi="Tahoma" w:cs="Tahoma"/>
                <w:b/>
                <w:sz w:val="22"/>
                <w:szCs w:val="22"/>
                <w:lang w:val="es-MX"/>
              </w:rPr>
              <w:t>, mismo que solo podrá contener los siguientes datos:</w:t>
            </w:r>
          </w:p>
          <w:p w:rsidR="006D638F" w:rsidRPr="00C33CFE" w:rsidRDefault="006D638F" w:rsidP="006D638F">
            <w:pPr>
              <w:pStyle w:val="Prrafodelista"/>
              <w:numPr>
                <w:ilvl w:val="0"/>
                <w:numId w:val="12"/>
              </w:numPr>
              <w:rPr>
                <w:rFonts w:ascii="Tahoma" w:hAnsi="Tahoma" w:cs="Tahoma"/>
                <w:b/>
                <w:sz w:val="22"/>
                <w:szCs w:val="22"/>
                <w:lang w:val="es-MX"/>
              </w:rPr>
            </w:pPr>
            <w:r w:rsidRPr="00C33CFE">
              <w:rPr>
                <w:rFonts w:ascii="Tahoma" w:hAnsi="Tahoma" w:cs="Tahoma"/>
                <w:b/>
                <w:sz w:val="22"/>
                <w:szCs w:val="22"/>
                <w:lang w:val="es-MX"/>
              </w:rPr>
              <w:t>Monto de la Renta</w:t>
            </w:r>
          </w:p>
          <w:p w:rsidR="006D638F" w:rsidRPr="00C33CFE" w:rsidRDefault="006D638F" w:rsidP="006D638F">
            <w:pPr>
              <w:pStyle w:val="Prrafodelista"/>
              <w:numPr>
                <w:ilvl w:val="0"/>
                <w:numId w:val="12"/>
              </w:numPr>
              <w:rPr>
                <w:rFonts w:ascii="Tahoma" w:hAnsi="Tahoma" w:cs="Tahoma"/>
                <w:b/>
                <w:sz w:val="22"/>
                <w:szCs w:val="22"/>
                <w:lang w:val="es-MX"/>
              </w:rPr>
            </w:pPr>
            <w:r w:rsidRPr="00C33CFE">
              <w:rPr>
                <w:rFonts w:ascii="Tahoma" w:hAnsi="Tahoma" w:cs="Tahoma"/>
                <w:b/>
                <w:sz w:val="22"/>
                <w:szCs w:val="22"/>
              </w:rPr>
              <w:t xml:space="preserve">Incremento pactado, </w:t>
            </w:r>
          </w:p>
          <w:p w:rsidR="006D638F" w:rsidRPr="00C33CFE" w:rsidRDefault="006D638F" w:rsidP="006D638F">
            <w:pPr>
              <w:pStyle w:val="Prrafodelista"/>
              <w:numPr>
                <w:ilvl w:val="0"/>
                <w:numId w:val="12"/>
              </w:numPr>
              <w:rPr>
                <w:rFonts w:ascii="Tahoma" w:hAnsi="Tahoma" w:cs="Tahoma"/>
                <w:b/>
                <w:sz w:val="22"/>
                <w:szCs w:val="22"/>
                <w:lang w:val="es-MX"/>
              </w:rPr>
            </w:pPr>
            <w:r w:rsidRPr="00C33CFE">
              <w:rPr>
                <w:rFonts w:ascii="Tahoma" w:hAnsi="Tahoma" w:cs="Tahoma"/>
                <w:b/>
                <w:sz w:val="22"/>
                <w:szCs w:val="22"/>
              </w:rPr>
              <w:t>Colonia, barrió, fraccionamiento o comisaria</w:t>
            </w:r>
          </w:p>
          <w:p w:rsidR="006D638F" w:rsidRPr="00C33CFE" w:rsidRDefault="006D638F" w:rsidP="006D638F">
            <w:pPr>
              <w:pStyle w:val="Prrafodelista"/>
              <w:numPr>
                <w:ilvl w:val="0"/>
                <w:numId w:val="12"/>
              </w:numPr>
              <w:rPr>
                <w:rFonts w:ascii="Tahoma" w:hAnsi="Tahoma" w:cs="Tahoma"/>
                <w:b/>
                <w:sz w:val="22"/>
                <w:szCs w:val="22"/>
                <w:lang w:val="es-MX"/>
              </w:rPr>
            </w:pPr>
            <w:r w:rsidRPr="00C33CFE">
              <w:rPr>
                <w:rFonts w:ascii="Tahoma" w:hAnsi="Tahoma" w:cs="Tahoma"/>
                <w:b/>
                <w:sz w:val="22"/>
                <w:szCs w:val="22"/>
              </w:rPr>
              <w:t>Municipio en el que se ubica el inmueble</w:t>
            </w:r>
          </w:p>
          <w:p w:rsidR="006D638F" w:rsidRPr="00C33CFE" w:rsidRDefault="006D638F" w:rsidP="00E2061F">
            <w:pPr>
              <w:ind w:firstLine="0"/>
              <w:rPr>
                <w:rFonts w:ascii="Tahoma" w:hAnsi="Tahoma" w:cs="Tahoma"/>
                <w:b/>
                <w:sz w:val="22"/>
                <w:szCs w:val="22"/>
                <w:lang w:val="es-MX"/>
              </w:rPr>
            </w:pPr>
            <w:r w:rsidRPr="00C33CFE">
              <w:rPr>
                <w:rFonts w:ascii="Tahoma" w:hAnsi="Tahoma" w:cs="Tahoma"/>
                <w:b/>
                <w:sz w:val="22"/>
                <w:szCs w:val="22"/>
                <w:lang w:val="es-MX"/>
              </w:rPr>
              <w:t>La persona o personas servidoras públicas encargadas del registro que hagan mal uso del mismo, o que no actúan con el deber de cuidado necesario para preservar la integridad y divulgación de los datos de los datos de los particulares, serán sancionadas conforme a las disposiciones legales aplicables en materia penal y administrativa.</w:t>
            </w:r>
          </w:p>
          <w:p w:rsidR="006D638F" w:rsidRPr="00C33CFE" w:rsidRDefault="006D638F" w:rsidP="00E2061F">
            <w:pPr>
              <w:autoSpaceDE w:val="0"/>
              <w:autoSpaceDN w:val="0"/>
              <w:adjustRightInd w:val="0"/>
              <w:ind w:firstLine="0"/>
              <w:rPr>
                <w:rFonts w:ascii="Tahoma" w:hAnsi="Tahoma" w:cs="Tahoma"/>
                <w:b/>
                <w:sz w:val="22"/>
                <w:szCs w:val="22"/>
                <w:lang w:val="es-MX"/>
              </w:rPr>
            </w:pPr>
          </w:p>
        </w:tc>
      </w:tr>
      <w:tr w:rsidR="00C33CFE" w:rsidRPr="00C33CFE" w:rsidTr="00E2061F">
        <w:tc>
          <w:tcPr>
            <w:tcW w:w="2500" w:type="pct"/>
            <w:tcBorders>
              <w:bottom w:val="single" w:sz="4" w:space="0" w:color="auto"/>
            </w:tcBorders>
          </w:tcPr>
          <w:p w:rsidR="006D638F" w:rsidRPr="00C33CFE" w:rsidRDefault="006D638F" w:rsidP="00E2061F">
            <w:pPr>
              <w:ind w:firstLine="0"/>
              <w:rPr>
                <w:rFonts w:ascii="Tahoma" w:hAnsi="Tahoma" w:cs="Tahoma"/>
                <w:sz w:val="22"/>
                <w:szCs w:val="22"/>
              </w:rPr>
            </w:pPr>
            <w:r w:rsidRPr="00C33CFE">
              <w:rPr>
                <w:rFonts w:ascii="Tahoma" w:hAnsi="Tahoma" w:cs="Tahoma"/>
                <w:b/>
                <w:sz w:val="22"/>
                <w:szCs w:val="22"/>
                <w:lang w:val="es-MX"/>
              </w:rPr>
              <w:t>Artículo 1613.-</w:t>
            </w:r>
            <w:r w:rsidRPr="00C33CFE">
              <w:rPr>
                <w:rFonts w:ascii="Tahoma" w:hAnsi="Tahoma" w:cs="Tahoma"/>
                <w:sz w:val="22"/>
                <w:szCs w:val="22"/>
                <w:lang w:val="es-MX"/>
              </w:rPr>
              <w:t xml:space="preserve"> Vencido un contrato de arrendamiento, tendrá derecho el inquilino, siempre que esté al corriente en el pago de las rentas, a que se le prorrogue hasta por un año ese contrato. En este caso, el arrendador tendrá derecho de aumentar la renta anterior en un porcentaje igual al que se haya incrementado ese año la unidad de medida y actualización</w:t>
            </w:r>
          </w:p>
        </w:tc>
        <w:tc>
          <w:tcPr>
            <w:tcW w:w="2500" w:type="pct"/>
            <w:tcBorders>
              <w:bottom w:val="single" w:sz="4" w:space="0" w:color="auto"/>
            </w:tcBorders>
          </w:tcPr>
          <w:p w:rsidR="006D638F" w:rsidRPr="00C33CFE" w:rsidRDefault="006D638F" w:rsidP="00E2061F">
            <w:pPr>
              <w:autoSpaceDE w:val="0"/>
              <w:autoSpaceDN w:val="0"/>
              <w:adjustRightInd w:val="0"/>
              <w:ind w:firstLine="0"/>
              <w:rPr>
                <w:rFonts w:ascii="Tahoma" w:hAnsi="Tahoma" w:cs="Tahoma"/>
                <w:b/>
                <w:sz w:val="22"/>
                <w:szCs w:val="22"/>
                <w:lang w:val="es-MX"/>
              </w:rPr>
            </w:pPr>
            <w:r w:rsidRPr="00C33CFE">
              <w:rPr>
                <w:rFonts w:ascii="Tahoma" w:hAnsi="Tahoma" w:cs="Tahoma"/>
                <w:b/>
                <w:sz w:val="22"/>
                <w:szCs w:val="22"/>
                <w:lang w:val="es-MX"/>
              </w:rPr>
              <w:t>Artículo 1613.-</w:t>
            </w:r>
            <w:r w:rsidRPr="00C33CFE">
              <w:rPr>
                <w:rFonts w:ascii="Tahoma" w:hAnsi="Tahoma" w:cs="Tahoma"/>
                <w:sz w:val="22"/>
                <w:szCs w:val="22"/>
                <w:lang w:val="es-MX"/>
              </w:rPr>
              <w:t xml:space="preserve"> </w:t>
            </w:r>
            <w:r w:rsidRPr="00C33CFE">
              <w:rPr>
                <w:rFonts w:ascii="Tahoma" w:hAnsi="Tahoma" w:cs="Tahoma"/>
                <w:b/>
                <w:sz w:val="22"/>
                <w:szCs w:val="22"/>
                <w:lang w:val="es-MX"/>
              </w:rPr>
              <w:t>Cuando el caso en que un contrato o convenio en el que se pacte el arrendamiento</w:t>
            </w:r>
            <w:r w:rsidRPr="00C33CFE">
              <w:rPr>
                <w:rStyle w:val="Refdenotaalpie"/>
                <w:rFonts w:ascii="Tahoma" w:hAnsi="Tahoma" w:cs="Tahoma"/>
                <w:b/>
                <w:sz w:val="22"/>
                <w:szCs w:val="22"/>
                <w:lang w:val="es-MX"/>
              </w:rPr>
              <w:footnoteReference w:id="2"/>
            </w:r>
            <w:r w:rsidRPr="00C33CFE">
              <w:rPr>
                <w:rFonts w:ascii="Tahoma" w:hAnsi="Tahoma" w:cs="Tahoma"/>
                <w:b/>
                <w:sz w:val="22"/>
                <w:szCs w:val="22"/>
                <w:lang w:val="es-MX"/>
              </w:rPr>
              <w:t xml:space="preserve"> de un bien inmueble destinado a la vivienda se renueve para un periodo subsecuente, el incremento de la contraprestación económica no podrá incrementar más que la </w:t>
            </w:r>
            <w:r w:rsidRPr="00C33CFE">
              <w:rPr>
                <w:rFonts w:ascii="Tahoma" w:hAnsi="Tahoma" w:cs="Tahoma"/>
                <w:b/>
                <w:sz w:val="22"/>
                <w:szCs w:val="22"/>
              </w:rPr>
              <w:t>inflación reportada por el Banco de México en el año anterior, respecto de la cantidad pactada como renta mensual.</w:t>
            </w:r>
          </w:p>
          <w:p w:rsidR="006D638F" w:rsidRPr="00C33CFE" w:rsidRDefault="006D638F" w:rsidP="00E2061F">
            <w:pPr>
              <w:autoSpaceDE w:val="0"/>
              <w:autoSpaceDN w:val="0"/>
              <w:adjustRightInd w:val="0"/>
              <w:ind w:firstLine="0"/>
              <w:rPr>
                <w:rFonts w:ascii="Tahoma" w:hAnsi="Tahoma" w:cs="Tahoma"/>
                <w:b/>
                <w:sz w:val="22"/>
                <w:szCs w:val="22"/>
              </w:rPr>
            </w:pPr>
            <w:r w:rsidRPr="00C33CFE">
              <w:rPr>
                <w:rFonts w:ascii="Tahoma" w:hAnsi="Tahoma" w:cs="Tahoma"/>
                <w:b/>
                <w:sz w:val="22"/>
                <w:szCs w:val="22"/>
                <w:lang w:val="es-MX"/>
              </w:rPr>
              <w:t xml:space="preserve">Vencido un contrato de o convenio que implique arrendamiento, tendrá derecho el inquilino, siempre que esté al corriente en el pago de las rentas, a que se le prorrogue hasta por un año ese convenio o contrato. </w:t>
            </w:r>
          </w:p>
        </w:tc>
      </w:tr>
    </w:tbl>
    <w:p w:rsidR="005658CA" w:rsidRDefault="005658CA" w:rsidP="00DE48B5">
      <w:pPr>
        <w:ind w:firstLine="0"/>
        <w:rPr>
          <w:rFonts w:ascii="Tahoma" w:hAnsi="Tahoma" w:cs="Tahoma"/>
        </w:rPr>
      </w:pPr>
    </w:p>
    <w:p w:rsidR="006D638F" w:rsidRDefault="00C33CFE" w:rsidP="00DE48B5">
      <w:pPr>
        <w:ind w:firstLine="0"/>
        <w:rPr>
          <w:rFonts w:ascii="Tahoma" w:hAnsi="Tahoma" w:cs="Tahoma"/>
        </w:rPr>
      </w:pPr>
      <w:r w:rsidRPr="00C33CFE">
        <w:rPr>
          <w:rFonts w:ascii="Tahoma" w:hAnsi="Tahoma" w:cs="Tahoma"/>
        </w:rPr>
        <w:t>DE IGUAL FORMA SE PRESENTA EL CUADRO CORRESPONDIENTE A LA LEY DE VIVIENDA EN EL ESTADO:</w:t>
      </w:r>
    </w:p>
    <w:p w:rsidR="005658CA" w:rsidRPr="00C33CFE" w:rsidRDefault="005658CA" w:rsidP="00DE48B5">
      <w:pPr>
        <w:ind w:firstLine="0"/>
        <w:rPr>
          <w:rFonts w:ascii="Tahoma" w:hAnsi="Tahoma" w:cs="Tahoma"/>
        </w:rPr>
      </w:pPr>
    </w:p>
    <w:tbl>
      <w:tblPr>
        <w:tblStyle w:val="Tablaconcuadrcula"/>
        <w:tblW w:w="5000" w:type="pct"/>
        <w:tblLook w:val="04A0" w:firstRow="1" w:lastRow="0" w:firstColumn="1" w:lastColumn="0" w:noHBand="0" w:noVBand="1"/>
      </w:tblPr>
      <w:tblGrid>
        <w:gridCol w:w="4414"/>
        <w:gridCol w:w="4414"/>
      </w:tblGrid>
      <w:tr w:rsidR="00C33CFE" w:rsidRPr="00C33CFE" w:rsidTr="00E2061F">
        <w:tc>
          <w:tcPr>
            <w:tcW w:w="5000" w:type="pct"/>
            <w:gridSpan w:val="2"/>
          </w:tcPr>
          <w:p w:rsidR="006D638F" w:rsidRDefault="006D638F" w:rsidP="00E2061F">
            <w:pPr>
              <w:ind w:firstLine="0"/>
              <w:jc w:val="center"/>
              <w:rPr>
                <w:rFonts w:ascii="Tahoma" w:hAnsi="Tahoma" w:cs="Tahoma"/>
                <w:b/>
                <w:sz w:val="22"/>
                <w:szCs w:val="22"/>
              </w:rPr>
            </w:pPr>
            <w:r w:rsidRPr="00C33CFE">
              <w:rPr>
                <w:rFonts w:ascii="Tahoma" w:hAnsi="Tahoma" w:cs="Tahoma"/>
                <w:b/>
                <w:sz w:val="22"/>
                <w:szCs w:val="22"/>
              </w:rPr>
              <w:t>LEY DE VIVIENDA DEL ESTADO DE YUCATÁN</w:t>
            </w:r>
          </w:p>
          <w:p w:rsidR="00C33CFE" w:rsidRPr="00C33CFE" w:rsidRDefault="00C33CFE" w:rsidP="00E2061F">
            <w:pPr>
              <w:ind w:firstLine="0"/>
              <w:jc w:val="center"/>
              <w:rPr>
                <w:rFonts w:ascii="Tahoma" w:hAnsi="Tahoma" w:cs="Tahoma"/>
                <w:b/>
                <w:sz w:val="22"/>
                <w:szCs w:val="22"/>
              </w:rPr>
            </w:pPr>
          </w:p>
        </w:tc>
      </w:tr>
      <w:tr w:rsidR="00C33CFE" w:rsidRPr="00C33CFE" w:rsidTr="00E2061F">
        <w:tc>
          <w:tcPr>
            <w:tcW w:w="2500" w:type="pct"/>
          </w:tcPr>
          <w:p w:rsidR="006D638F" w:rsidRPr="00C33CFE" w:rsidRDefault="006D638F" w:rsidP="00E2061F">
            <w:pPr>
              <w:ind w:firstLine="0"/>
              <w:jc w:val="center"/>
              <w:rPr>
                <w:rFonts w:ascii="Tahoma" w:hAnsi="Tahoma" w:cs="Tahoma"/>
                <w:sz w:val="22"/>
                <w:szCs w:val="22"/>
              </w:rPr>
            </w:pPr>
            <w:r w:rsidRPr="00C33CFE">
              <w:rPr>
                <w:rFonts w:ascii="Tahoma" w:hAnsi="Tahoma" w:cs="Tahoma"/>
                <w:sz w:val="22"/>
                <w:szCs w:val="22"/>
              </w:rPr>
              <w:t>TEXTO PREVIO</w:t>
            </w:r>
          </w:p>
        </w:tc>
        <w:tc>
          <w:tcPr>
            <w:tcW w:w="2500" w:type="pct"/>
          </w:tcPr>
          <w:p w:rsidR="006D638F" w:rsidRPr="00C33CFE" w:rsidRDefault="006D638F" w:rsidP="00E2061F">
            <w:pPr>
              <w:ind w:firstLine="0"/>
              <w:jc w:val="center"/>
              <w:rPr>
                <w:rFonts w:ascii="Tahoma" w:hAnsi="Tahoma" w:cs="Tahoma"/>
                <w:sz w:val="22"/>
                <w:szCs w:val="22"/>
              </w:rPr>
            </w:pPr>
            <w:r w:rsidRPr="00C33CFE">
              <w:rPr>
                <w:rFonts w:ascii="Tahoma" w:hAnsi="Tahoma" w:cs="Tahoma"/>
                <w:sz w:val="22"/>
                <w:szCs w:val="22"/>
              </w:rPr>
              <w:t>TEXTO REFORMADO</w:t>
            </w:r>
          </w:p>
        </w:tc>
      </w:tr>
      <w:tr w:rsidR="00C33CFE" w:rsidRPr="00C33CFE" w:rsidTr="00E2061F">
        <w:tc>
          <w:tcPr>
            <w:tcW w:w="2500" w:type="pct"/>
          </w:tcPr>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TÍTULO PRIMERO</w:t>
            </w:r>
          </w:p>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DISPOSICIONES GENERALES</w:t>
            </w:r>
          </w:p>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CAPÍTULO ÚNICO</w:t>
            </w:r>
          </w:p>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Del Objeto de la Ley</w:t>
            </w:r>
          </w:p>
          <w:p w:rsidR="006D638F" w:rsidRPr="00C33CFE" w:rsidRDefault="006D638F" w:rsidP="00E2061F">
            <w:pPr>
              <w:pStyle w:val="Default"/>
              <w:rPr>
                <w:rFonts w:ascii="Tahoma" w:hAnsi="Tahoma" w:cs="Tahoma"/>
                <w:color w:val="auto"/>
                <w:sz w:val="22"/>
                <w:szCs w:val="22"/>
              </w:rPr>
            </w:pPr>
          </w:p>
          <w:p w:rsidR="006D638F" w:rsidRPr="00C33CFE" w:rsidRDefault="006D638F" w:rsidP="00E2061F">
            <w:pPr>
              <w:pStyle w:val="Default"/>
              <w:rPr>
                <w:rFonts w:ascii="Tahoma" w:hAnsi="Tahoma" w:cs="Tahoma"/>
                <w:color w:val="auto"/>
                <w:sz w:val="22"/>
                <w:szCs w:val="22"/>
              </w:rPr>
            </w:pPr>
            <w:r w:rsidRPr="00C33CFE">
              <w:rPr>
                <w:rFonts w:ascii="Tahoma" w:hAnsi="Tahoma" w:cs="Tahoma"/>
                <w:b/>
                <w:bCs/>
                <w:color w:val="auto"/>
                <w:sz w:val="22"/>
                <w:szCs w:val="22"/>
              </w:rPr>
              <w:t xml:space="preserve">Artículo 1.- </w:t>
            </w:r>
            <w:r w:rsidRPr="00C33CFE">
              <w:rPr>
                <w:rFonts w:ascii="Tahoma" w:hAnsi="Tahoma" w:cs="Tahoma"/>
                <w:color w:val="auto"/>
                <w:sz w:val="22"/>
                <w:szCs w:val="22"/>
              </w:rPr>
              <w:t xml:space="preserve">Esta Ley es de orden público, interés social y de observancia general en todo el territorio del Estado y tiene por objeto: </w:t>
            </w:r>
          </w:p>
          <w:p w:rsidR="006D638F" w:rsidRPr="00C33CFE" w:rsidRDefault="006D638F" w:rsidP="00E2061F">
            <w:pPr>
              <w:pStyle w:val="Default"/>
              <w:rPr>
                <w:rFonts w:ascii="Tahoma" w:hAnsi="Tahoma" w:cs="Tahoma"/>
                <w:color w:val="auto"/>
                <w:sz w:val="22"/>
                <w:szCs w:val="22"/>
              </w:rPr>
            </w:pPr>
          </w:p>
          <w:p w:rsidR="006D638F" w:rsidRPr="00C33CFE" w:rsidRDefault="006D638F" w:rsidP="00E2061F">
            <w:pPr>
              <w:pStyle w:val="Default"/>
              <w:rPr>
                <w:rFonts w:ascii="Tahoma" w:hAnsi="Tahoma" w:cs="Tahoma"/>
                <w:color w:val="auto"/>
                <w:sz w:val="22"/>
                <w:szCs w:val="22"/>
              </w:rPr>
            </w:pPr>
            <w:r w:rsidRPr="00C33CFE">
              <w:rPr>
                <w:rFonts w:ascii="Tahoma" w:hAnsi="Tahoma" w:cs="Tahoma"/>
                <w:b/>
                <w:bCs/>
                <w:color w:val="auto"/>
                <w:sz w:val="22"/>
                <w:szCs w:val="22"/>
              </w:rPr>
              <w:t xml:space="preserve">XIV.- </w:t>
            </w:r>
            <w:r w:rsidRPr="00C33CFE">
              <w:rPr>
                <w:rFonts w:ascii="Tahoma" w:hAnsi="Tahoma" w:cs="Tahoma"/>
                <w:color w:val="auto"/>
                <w:sz w:val="22"/>
                <w:szCs w:val="22"/>
              </w:rPr>
              <w:t xml:space="preserve">Sentar las bases para la integración de la información de vivienda al Sistema de Información Territorial y Urbana del Estado de Yucatán, y </w:t>
            </w:r>
          </w:p>
          <w:p w:rsidR="006D638F" w:rsidRPr="00C33CFE" w:rsidRDefault="006D638F" w:rsidP="00E2061F">
            <w:pPr>
              <w:pStyle w:val="Default"/>
              <w:rPr>
                <w:rFonts w:ascii="Tahoma" w:hAnsi="Tahoma" w:cs="Tahoma"/>
                <w:color w:val="auto"/>
                <w:sz w:val="22"/>
                <w:szCs w:val="22"/>
              </w:rPr>
            </w:pPr>
          </w:p>
          <w:p w:rsidR="006D638F" w:rsidRPr="00C33CFE" w:rsidRDefault="006D638F" w:rsidP="00E2061F">
            <w:pPr>
              <w:ind w:firstLine="0"/>
              <w:rPr>
                <w:rFonts w:ascii="Tahoma" w:hAnsi="Tahoma" w:cs="Tahoma"/>
                <w:sz w:val="22"/>
                <w:szCs w:val="22"/>
              </w:rPr>
            </w:pPr>
            <w:r w:rsidRPr="00C33CFE">
              <w:rPr>
                <w:rFonts w:ascii="Tahoma" w:hAnsi="Tahoma" w:cs="Tahoma"/>
                <w:b/>
                <w:bCs/>
                <w:sz w:val="22"/>
                <w:szCs w:val="22"/>
              </w:rPr>
              <w:t xml:space="preserve">XV.- </w:t>
            </w:r>
            <w:r w:rsidRPr="00C33CFE">
              <w:rPr>
                <w:rFonts w:ascii="Tahoma" w:hAnsi="Tahoma" w:cs="Tahoma"/>
                <w:sz w:val="22"/>
                <w:szCs w:val="22"/>
              </w:rPr>
              <w:t>Promover y aplicar los instrumentos de suelo y financieros para el desarrollo territorial previsto en la Ley de Asentamientos Humanos, Ordenamiento Territorial y Desarrollo Urbano del Estado de Yucatán.</w:t>
            </w:r>
          </w:p>
        </w:tc>
        <w:tc>
          <w:tcPr>
            <w:tcW w:w="2500" w:type="pct"/>
          </w:tcPr>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TÍTULO PRIMERO</w:t>
            </w:r>
          </w:p>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DISPOSICIONES GENERALES</w:t>
            </w:r>
          </w:p>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CAPÍTULO ÚNICO</w:t>
            </w:r>
          </w:p>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Del Objeto de la Ley</w:t>
            </w:r>
          </w:p>
          <w:p w:rsidR="006D638F" w:rsidRPr="00C33CFE" w:rsidRDefault="006D638F" w:rsidP="00E2061F">
            <w:pPr>
              <w:pStyle w:val="Default"/>
              <w:rPr>
                <w:rFonts w:ascii="Tahoma" w:hAnsi="Tahoma" w:cs="Tahoma"/>
                <w:color w:val="auto"/>
                <w:sz w:val="22"/>
                <w:szCs w:val="22"/>
              </w:rPr>
            </w:pPr>
          </w:p>
          <w:p w:rsidR="006D638F" w:rsidRPr="00C33CFE" w:rsidRDefault="006D638F" w:rsidP="00C33CFE">
            <w:pPr>
              <w:pStyle w:val="Default"/>
              <w:jc w:val="both"/>
              <w:rPr>
                <w:rFonts w:ascii="Tahoma" w:hAnsi="Tahoma" w:cs="Tahoma"/>
                <w:color w:val="auto"/>
                <w:sz w:val="22"/>
                <w:szCs w:val="22"/>
              </w:rPr>
            </w:pPr>
            <w:r w:rsidRPr="00C33CFE">
              <w:rPr>
                <w:rFonts w:ascii="Tahoma" w:hAnsi="Tahoma" w:cs="Tahoma"/>
                <w:b/>
                <w:bCs/>
                <w:color w:val="auto"/>
                <w:sz w:val="22"/>
                <w:szCs w:val="22"/>
              </w:rPr>
              <w:t xml:space="preserve">Artículo 1.- </w:t>
            </w:r>
            <w:r w:rsidRPr="00C33CFE">
              <w:rPr>
                <w:rFonts w:ascii="Tahoma" w:hAnsi="Tahoma" w:cs="Tahoma"/>
                <w:color w:val="auto"/>
                <w:sz w:val="22"/>
                <w:szCs w:val="22"/>
              </w:rPr>
              <w:t xml:space="preserve">Esta Ley es de orden público, interés social y de observancia general en todo el territorio del Estado y tiene por objeto: </w:t>
            </w:r>
          </w:p>
          <w:p w:rsidR="006D638F" w:rsidRPr="00C33CFE" w:rsidRDefault="006D638F" w:rsidP="00C33CFE">
            <w:pPr>
              <w:pStyle w:val="Default"/>
              <w:jc w:val="both"/>
              <w:rPr>
                <w:rFonts w:ascii="Tahoma" w:hAnsi="Tahoma" w:cs="Tahoma"/>
                <w:color w:val="auto"/>
                <w:sz w:val="22"/>
                <w:szCs w:val="22"/>
              </w:rPr>
            </w:pPr>
          </w:p>
          <w:p w:rsidR="006D638F" w:rsidRPr="00C33CFE" w:rsidRDefault="006D638F" w:rsidP="00C33CFE">
            <w:pPr>
              <w:pStyle w:val="Default"/>
              <w:jc w:val="both"/>
              <w:rPr>
                <w:rFonts w:ascii="Tahoma" w:hAnsi="Tahoma" w:cs="Tahoma"/>
                <w:color w:val="auto"/>
                <w:sz w:val="22"/>
                <w:szCs w:val="22"/>
              </w:rPr>
            </w:pPr>
            <w:r w:rsidRPr="00C33CFE">
              <w:rPr>
                <w:rFonts w:ascii="Tahoma" w:hAnsi="Tahoma" w:cs="Tahoma"/>
                <w:color w:val="auto"/>
                <w:sz w:val="22"/>
                <w:szCs w:val="22"/>
              </w:rPr>
              <w:t>I a XIV. (…)</w:t>
            </w:r>
          </w:p>
          <w:p w:rsidR="006D638F" w:rsidRPr="00C33CFE" w:rsidRDefault="006D638F" w:rsidP="00C33CFE">
            <w:pPr>
              <w:pStyle w:val="Default"/>
              <w:jc w:val="both"/>
              <w:rPr>
                <w:rFonts w:ascii="Tahoma" w:hAnsi="Tahoma" w:cs="Tahoma"/>
                <w:color w:val="auto"/>
                <w:sz w:val="22"/>
                <w:szCs w:val="22"/>
              </w:rPr>
            </w:pPr>
          </w:p>
          <w:p w:rsidR="006D638F" w:rsidRPr="00C33CFE" w:rsidRDefault="006D638F" w:rsidP="00C33CFE">
            <w:pPr>
              <w:pStyle w:val="Default"/>
              <w:jc w:val="both"/>
              <w:rPr>
                <w:rFonts w:ascii="Tahoma" w:hAnsi="Tahoma" w:cs="Tahoma"/>
                <w:color w:val="auto"/>
                <w:sz w:val="22"/>
                <w:szCs w:val="22"/>
              </w:rPr>
            </w:pPr>
          </w:p>
          <w:p w:rsidR="006D638F" w:rsidRPr="00C33CFE" w:rsidRDefault="006D638F" w:rsidP="00C33CFE">
            <w:pPr>
              <w:pStyle w:val="Default"/>
              <w:jc w:val="both"/>
              <w:rPr>
                <w:rFonts w:ascii="Tahoma" w:hAnsi="Tahoma" w:cs="Tahoma"/>
                <w:color w:val="auto"/>
                <w:sz w:val="22"/>
                <w:szCs w:val="22"/>
              </w:rPr>
            </w:pPr>
          </w:p>
          <w:p w:rsidR="006D638F" w:rsidRPr="00C33CFE" w:rsidRDefault="006D638F" w:rsidP="00C33CFE">
            <w:pPr>
              <w:pStyle w:val="Default"/>
              <w:jc w:val="both"/>
              <w:rPr>
                <w:rFonts w:ascii="Tahoma" w:hAnsi="Tahoma" w:cs="Tahoma"/>
                <w:color w:val="auto"/>
                <w:sz w:val="22"/>
                <w:szCs w:val="22"/>
              </w:rPr>
            </w:pPr>
          </w:p>
          <w:p w:rsidR="006D638F" w:rsidRDefault="006D638F" w:rsidP="00C33CFE">
            <w:pPr>
              <w:pStyle w:val="Default"/>
              <w:jc w:val="both"/>
              <w:rPr>
                <w:rFonts w:ascii="Tahoma" w:hAnsi="Tahoma" w:cs="Tahoma"/>
                <w:b/>
                <w:color w:val="auto"/>
                <w:sz w:val="22"/>
                <w:szCs w:val="22"/>
              </w:rPr>
            </w:pPr>
            <w:r w:rsidRPr="00C33CFE">
              <w:rPr>
                <w:rFonts w:ascii="Tahoma" w:hAnsi="Tahoma" w:cs="Tahoma"/>
                <w:b/>
                <w:color w:val="auto"/>
                <w:sz w:val="22"/>
                <w:szCs w:val="22"/>
              </w:rPr>
              <w:t>XV. Disponer las sanciones aplicables a los particulares que incumplan con lo establecido en esta Ley y normas reglamentarias aplicables, así como a los servidores públicos que no cumplan con estas disposiciones, independientemente de las sanciones contempladas en los ordenamientos</w:t>
            </w:r>
            <w:r w:rsidRPr="00C33CFE">
              <w:rPr>
                <w:rFonts w:ascii="Tahoma" w:hAnsi="Tahoma" w:cs="Tahoma"/>
                <w:color w:val="auto"/>
                <w:sz w:val="22"/>
                <w:szCs w:val="22"/>
              </w:rPr>
              <w:t xml:space="preserve"> </w:t>
            </w:r>
            <w:r w:rsidRPr="00C33CFE">
              <w:rPr>
                <w:rFonts w:ascii="Tahoma" w:hAnsi="Tahoma" w:cs="Tahoma"/>
                <w:b/>
                <w:color w:val="auto"/>
                <w:sz w:val="22"/>
                <w:szCs w:val="22"/>
              </w:rPr>
              <w:t>relativos a las responsabilidades de servidores públicos;</w:t>
            </w:r>
          </w:p>
          <w:p w:rsidR="00263747" w:rsidRPr="00C33CFE" w:rsidRDefault="00263747" w:rsidP="00C33CFE">
            <w:pPr>
              <w:pStyle w:val="Default"/>
              <w:jc w:val="both"/>
              <w:rPr>
                <w:rFonts w:ascii="Tahoma" w:hAnsi="Tahoma" w:cs="Tahoma"/>
                <w:b/>
                <w:color w:val="auto"/>
                <w:sz w:val="22"/>
                <w:szCs w:val="22"/>
              </w:rPr>
            </w:pPr>
          </w:p>
          <w:p w:rsidR="006D638F" w:rsidRPr="00C33CFE" w:rsidRDefault="006D638F" w:rsidP="00C33CFE">
            <w:pPr>
              <w:ind w:firstLine="0"/>
              <w:rPr>
                <w:rFonts w:ascii="Tahoma" w:hAnsi="Tahoma" w:cs="Tahoma"/>
                <w:b/>
                <w:sz w:val="22"/>
                <w:szCs w:val="22"/>
              </w:rPr>
            </w:pPr>
            <w:r w:rsidRPr="00C33CFE">
              <w:rPr>
                <w:rFonts w:ascii="Tahoma" w:hAnsi="Tahoma" w:cs="Tahoma"/>
                <w:b/>
                <w:sz w:val="22"/>
                <w:szCs w:val="22"/>
              </w:rPr>
              <w:t xml:space="preserve">XVl. </w:t>
            </w:r>
            <w:r w:rsidR="00971DF3">
              <w:rPr>
                <w:rFonts w:ascii="Tahoma" w:hAnsi="Tahoma" w:cs="Tahoma"/>
                <w:b/>
                <w:sz w:val="22"/>
                <w:szCs w:val="22"/>
              </w:rPr>
              <w:t>Fomentar</w:t>
            </w:r>
            <w:r w:rsidRPr="00C33CFE">
              <w:rPr>
                <w:rFonts w:ascii="Tahoma" w:hAnsi="Tahoma" w:cs="Tahoma"/>
                <w:b/>
                <w:sz w:val="22"/>
                <w:szCs w:val="22"/>
              </w:rPr>
              <w:t xml:space="preserve"> la producción pública de vivienda en arrendamiento asequible para las personas de menores ingresos por parte del Gobierno del Estado de Yucatán; y</w:t>
            </w:r>
          </w:p>
          <w:p w:rsidR="006D638F" w:rsidRPr="00C33CFE" w:rsidRDefault="006D638F" w:rsidP="00C33CFE">
            <w:pPr>
              <w:ind w:firstLine="0"/>
              <w:rPr>
                <w:rFonts w:ascii="Tahoma" w:hAnsi="Tahoma" w:cs="Tahoma"/>
                <w:b/>
                <w:sz w:val="22"/>
                <w:szCs w:val="22"/>
              </w:rPr>
            </w:pPr>
          </w:p>
          <w:p w:rsidR="006D638F" w:rsidRPr="00C33CFE" w:rsidRDefault="006D638F" w:rsidP="00C33CFE">
            <w:pPr>
              <w:ind w:firstLine="0"/>
              <w:rPr>
                <w:rFonts w:ascii="Tahoma" w:hAnsi="Tahoma" w:cs="Tahoma"/>
                <w:sz w:val="22"/>
                <w:szCs w:val="22"/>
              </w:rPr>
            </w:pPr>
            <w:r w:rsidRPr="00C33CFE">
              <w:rPr>
                <w:rFonts w:ascii="Tahoma" w:hAnsi="Tahoma" w:cs="Tahoma"/>
                <w:b/>
                <w:bCs/>
                <w:sz w:val="22"/>
                <w:szCs w:val="22"/>
              </w:rPr>
              <w:t xml:space="preserve">XVII.- </w:t>
            </w:r>
            <w:r w:rsidRPr="00C33CFE">
              <w:rPr>
                <w:rFonts w:ascii="Tahoma" w:hAnsi="Tahoma" w:cs="Tahoma"/>
                <w:sz w:val="22"/>
                <w:szCs w:val="22"/>
              </w:rPr>
              <w:t>Promover y aplicar los instrumentos de suelo y financieros para el desarrollo territorial previsto en la Ley de Asentamientos Humanos, Ordenamiento Territorial y Desarrollo Urbano del Estado de Yucatán.</w:t>
            </w:r>
          </w:p>
          <w:p w:rsidR="006D638F" w:rsidRPr="00C33CFE" w:rsidRDefault="006D638F" w:rsidP="00E2061F">
            <w:pPr>
              <w:ind w:firstLine="0"/>
              <w:rPr>
                <w:rFonts w:ascii="Tahoma" w:hAnsi="Tahoma" w:cs="Tahoma"/>
                <w:sz w:val="22"/>
                <w:szCs w:val="22"/>
              </w:rPr>
            </w:pPr>
          </w:p>
        </w:tc>
      </w:tr>
      <w:tr w:rsidR="00C33CFE" w:rsidRPr="00C33CFE" w:rsidTr="00E2061F">
        <w:tc>
          <w:tcPr>
            <w:tcW w:w="2500" w:type="pct"/>
          </w:tcPr>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CAPÍTULO I</w:t>
            </w:r>
          </w:p>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De los Principios Generales</w:t>
            </w: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E2061F">
            <w:pPr>
              <w:pStyle w:val="Default"/>
              <w:rPr>
                <w:rFonts w:ascii="Tahoma" w:hAnsi="Tahoma" w:cs="Tahoma"/>
                <w:color w:val="auto"/>
                <w:sz w:val="22"/>
                <w:szCs w:val="22"/>
              </w:rPr>
            </w:pPr>
            <w:r w:rsidRPr="00C33CFE">
              <w:rPr>
                <w:rFonts w:ascii="Tahoma" w:hAnsi="Tahoma" w:cs="Tahoma"/>
                <w:b/>
                <w:bCs/>
                <w:color w:val="auto"/>
                <w:sz w:val="22"/>
                <w:szCs w:val="22"/>
              </w:rPr>
              <w:t xml:space="preserve">Artículo 5.- </w:t>
            </w:r>
            <w:r w:rsidRPr="00C33CFE">
              <w:rPr>
                <w:rFonts w:ascii="Tahoma" w:hAnsi="Tahoma" w:cs="Tahoma"/>
                <w:color w:val="auto"/>
                <w:sz w:val="22"/>
                <w:szCs w:val="22"/>
              </w:rPr>
              <w:t>La Política Estatal de Vivienda, para dar cumplimiento al objeto de esta Ley, considerará:</w:t>
            </w:r>
          </w:p>
          <w:p w:rsidR="006D638F" w:rsidRPr="00C33CFE" w:rsidRDefault="006D638F" w:rsidP="00E2061F">
            <w:pPr>
              <w:pStyle w:val="Default"/>
              <w:rPr>
                <w:rFonts w:ascii="Tahoma" w:hAnsi="Tahoma" w:cs="Tahoma"/>
                <w:color w:val="auto"/>
                <w:sz w:val="22"/>
                <w:szCs w:val="22"/>
              </w:rPr>
            </w:pPr>
          </w:p>
          <w:p w:rsidR="006D638F" w:rsidRPr="00C33CFE" w:rsidRDefault="006D638F" w:rsidP="00E2061F">
            <w:pPr>
              <w:pStyle w:val="Default"/>
              <w:rPr>
                <w:rFonts w:ascii="Tahoma" w:hAnsi="Tahoma" w:cs="Tahoma"/>
                <w:b/>
                <w:bCs/>
                <w:color w:val="auto"/>
                <w:sz w:val="22"/>
                <w:szCs w:val="22"/>
              </w:rPr>
            </w:pPr>
            <w:r w:rsidRPr="00C33CFE">
              <w:rPr>
                <w:rFonts w:ascii="Tahoma" w:hAnsi="Tahoma" w:cs="Tahoma"/>
                <w:b/>
                <w:bCs/>
                <w:color w:val="auto"/>
                <w:sz w:val="22"/>
                <w:szCs w:val="22"/>
              </w:rPr>
              <w:t xml:space="preserve">VI.- </w:t>
            </w:r>
            <w:r w:rsidRPr="00C33CFE">
              <w:rPr>
                <w:rFonts w:ascii="Tahoma" w:hAnsi="Tahoma" w:cs="Tahoma"/>
                <w:color w:val="auto"/>
                <w:sz w:val="22"/>
                <w:szCs w:val="22"/>
              </w:rPr>
              <w:t xml:space="preserve">La construcción o adquisición de unidades, lotes con servicios o conjuntos habitacionales administrados por el Gobierno del Estado, destinados a otorgar en arrendamiento a los particulares </w:t>
            </w:r>
          </w:p>
        </w:tc>
        <w:tc>
          <w:tcPr>
            <w:tcW w:w="2500" w:type="pct"/>
          </w:tcPr>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CAPÍTULO I</w:t>
            </w:r>
          </w:p>
          <w:p w:rsidR="006D638F" w:rsidRPr="00C33CFE" w:rsidRDefault="006D638F" w:rsidP="00E2061F">
            <w:pPr>
              <w:pStyle w:val="Default"/>
              <w:jc w:val="center"/>
              <w:rPr>
                <w:rFonts w:ascii="Tahoma" w:hAnsi="Tahoma" w:cs="Tahoma"/>
                <w:color w:val="auto"/>
                <w:sz w:val="22"/>
                <w:szCs w:val="22"/>
              </w:rPr>
            </w:pPr>
            <w:r w:rsidRPr="00C33CFE">
              <w:rPr>
                <w:rFonts w:ascii="Tahoma" w:hAnsi="Tahoma" w:cs="Tahoma"/>
                <w:b/>
                <w:bCs/>
                <w:color w:val="auto"/>
                <w:sz w:val="22"/>
                <w:szCs w:val="22"/>
              </w:rPr>
              <w:t>De los Principios Generales</w:t>
            </w: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C33CFE">
            <w:pPr>
              <w:pStyle w:val="Default"/>
              <w:jc w:val="both"/>
              <w:rPr>
                <w:rFonts w:ascii="Tahoma" w:hAnsi="Tahoma" w:cs="Tahoma"/>
                <w:color w:val="auto"/>
                <w:sz w:val="22"/>
                <w:szCs w:val="22"/>
              </w:rPr>
            </w:pPr>
            <w:r w:rsidRPr="00C33CFE">
              <w:rPr>
                <w:rFonts w:ascii="Tahoma" w:hAnsi="Tahoma" w:cs="Tahoma"/>
                <w:b/>
                <w:bCs/>
                <w:color w:val="auto"/>
                <w:sz w:val="22"/>
                <w:szCs w:val="22"/>
              </w:rPr>
              <w:t xml:space="preserve">Artículo 5.- </w:t>
            </w:r>
            <w:r w:rsidRPr="00C33CFE">
              <w:rPr>
                <w:rFonts w:ascii="Tahoma" w:hAnsi="Tahoma" w:cs="Tahoma"/>
                <w:color w:val="auto"/>
                <w:sz w:val="22"/>
                <w:szCs w:val="22"/>
              </w:rPr>
              <w:t>La Política Estatal de Vivienda, para dar cumplimiento al objeto de esta Ley, considerará:</w:t>
            </w:r>
          </w:p>
          <w:p w:rsidR="006D638F" w:rsidRPr="00C33CFE" w:rsidRDefault="006D638F" w:rsidP="00C33CFE">
            <w:pPr>
              <w:pStyle w:val="Default"/>
              <w:jc w:val="both"/>
              <w:rPr>
                <w:rFonts w:ascii="Tahoma" w:hAnsi="Tahoma" w:cs="Tahoma"/>
                <w:color w:val="auto"/>
                <w:sz w:val="22"/>
                <w:szCs w:val="22"/>
              </w:rPr>
            </w:pPr>
          </w:p>
          <w:p w:rsidR="006D638F" w:rsidRPr="00C33CFE" w:rsidRDefault="006D638F" w:rsidP="00C33CFE">
            <w:pPr>
              <w:pStyle w:val="Default"/>
              <w:jc w:val="both"/>
              <w:rPr>
                <w:rFonts w:ascii="Tahoma" w:hAnsi="Tahoma" w:cs="Tahoma"/>
                <w:b/>
                <w:bCs/>
                <w:color w:val="auto"/>
                <w:sz w:val="22"/>
                <w:szCs w:val="22"/>
              </w:rPr>
            </w:pPr>
            <w:r w:rsidRPr="00C33CFE">
              <w:rPr>
                <w:rFonts w:ascii="Tahoma" w:hAnsi="Tahoma" w:cs="Tahoma"/>
                <w:b/>
                <w:bCs/>
                <w:color w:val="auto"/>
                <w:sz w:val="22"/>
                <w:szCs w:val="22"/>
              </w:rPr>
              <w:t xml:space="preserve">VI.- </w:t>
            </w:r>
            <w:r w:rsidRPr="00C33CFE">
              <w:rPr>
                <w:rFonts w:ascii="Tahoma" w:hAnsi="Tahoma" w:cs="Tahoma"/>
                <w:color w:val="auto"/>
                <w:sz w:val="22"/>
                <w:szCs w:val="22"/>
              </w:rPr>
              <w:t xml:space="preserve">La construcción o adquisición de unidades, lotes con servicios o conjuntos habitacionales administrados por el Gobierno del Estado, destinados a otorgar en arrendamiento a los particulares </w:t>
            </w:r>
            <w:r w:rsidRPr="00C33CFE">
              <w:rPr>
                <w:rFonts w:ascii="Tahoma" w:hAnsi="Tahoma" w:cs="Tahoma"/>
                <w:b/>
                <w:color w:val="auto"/>
                <w:sz w:val="22"/>
                <w:szCs w:val="22"/>
              </w:rPr>
              <w:t>con un criterio de asequibilidad para las personas de menores ingresos</w:t>
            </w:r>
            <w:r w:rsidRPr="00C33CFE">
              <w:rPr>
                <w:rFonts w:ascii="Tahoma" w:hAnsi="Tahoma" w:cs="Tahoma"/>
                <w:color w:val="auto"/>
                <w:sz w:val="22"/>
                <w:szCs w:val="22"/>
              </w:rPr>
              <w:t>;</w:t>
            </w:r>
          </w:p>
        </w:tc>
      </w:tr>
      <w:tr w:rsidR="00C33CFE" w:rsidRPr="00C33CFE" w:rsidTr="00E2061F">
        <w:tc>
          <w:tcPr>
            <w:tcW w:w="2500" w:type="pct"/>
          </w:tcPr>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r w:rsidRPr="00C33CFE">
              <w:rPr>
                <w:rFonts w:ascii="Tahoma" w:hAnsi="Tahoma" w:cs="Tahoma"/>
                <w:b/>
                <w:bCs/>
                <w:kern w:val="0"/>
                <w:sz w:val="22"/>
                <w:szCs w:val="22"/>
                <w:lang w:val="es-MX"/>
              </w:rPr>
              <w:t>CAPÍTULO I</w:t>
            </w:r>
          </w:p>
          <w:p w:rsidR="006D638F" w:rsidRPr="00C33CFE" w:rsidRDefault="006D638F" w:rsidP="00E2061F">
            <w:pPr>
              <w:pStyle w:val="Default"/>
              <w:jc w:val="center"/>
              <w:rPr>
                <w:rFonts w:ascii="Tahoma" w:hAnsi="Tahoma" w:cs="Tahoma"/>
                <w:b/>
                <w:bCs/>
                <w:color w:val="auto"/>
                <w:sz w:val="22"/>
                <w:szCs w:val="22"/>
              </w:rPr>
            </w:pPr>
            <w:r w:rsidRPr="00C33CFE">
              <w:rPr>
                <w:rFonts w:ascii="Tahoma" w:hAnsi="Tahoma" w:cs="Tahoma"/>
                <w:b/>
                <w:bCs/>
                <w:color w:val="auto"/>
                <w:sz w:val="22"/>
                <w:szCs w:val="22"/>
              </w:rPr>
              <w:t>Del Consejo Estatal de Vivienda</w:t>
            </w: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E2061F">
            <w:pPr>
              <w:pStyle w:val="Default"/>
              <w:rPr>
                <w:rFonts w:ascii="Tahoma" w:hAnsi="Tahoma" w:cs="Tahoma"/>
                <w:color w:val="auto"/>
                <w:sz w:val="22"/>
                <w:szCs w:val="22"/>
              </w:rPr>
            </w:pPr>
            <w:r w:rsidRPr="00C33CFE">
              <w:rPr>
                <w:rFonts w:ascii="Tahoma" w:hAnsi="Tahoma" w:cs="Tahoma"/>
                <w:b/>
                <w:bCs/>
                <w:color w:val="auto"/>
                <w:sz w:val="22"/>
                <w:szCs w:val="22"/>
              </w:rPr>
              <w:t xml:space="preserve">Artículo 15.- </w:t>
            </w:r>
            <w:r w:rsidRPr="00C33CFE">
              <w:rPr>
                <w:rFonts w:ascii="Tahoma" w:hAnsi="Tahoma" w:cs="Tahoma"/>
                <w:color w:val="auto"/>
                <w:sz w:val="22"/>
                <w:szCs w:val="22"/>
              </w:rPr>
              <w:t>El Consejo tendrá las siguientes atribuciones:</w:t>
            </w:r>
          </w:p>
          <w:p w:rsidR="006D638F" w:rsidRPr="00C33CFE" w:rsidRDefault="006D638F" w:rsidP="00E2061F">
            <w:pPr>
              <w:pStyle w:val="Default"/>
              <w:rPr>
                <w:rFonts w:ascii="Tahoma" w:hAnsi="Tahoma" w:cs="Tahoma"/>
                <w:color w:val="auto"/>
                <w:sz w:val="22"/>
                <w:szCs w:val="22"/>
              </w:rPr>
            </w:pPr>
          </w:p>
          <w:p w:rsidR="006D638F" w:rsidRPr="00C33CFE" w:rsidRDefault="006D638F" w:rsidP="00E2061F">
            <w:pPr>
              <w:pStyle w:val="Default"/>
              <w:rPr>
                <w:rFonts w:ascii="Tahoma" w:hAnsi="Tahoma" w:cs="Tahoma"/>
                <w:b/>
                <w:bCs/>
                <w:color w:val="auto"/>
                <w:sz w:val="22"/>
                <w:szCs w:val="22"/>
              </w:rPr>
            </w:pPr>
            <w:r w:rsidRPr="00C33CFE">
              <w:rPr>
                <w:rFonts w:ascii="Tahoma" w:hAnsi="Tahoma" w:cs="Tahoma"/>
                <w:color w:val="auto"/>
                <w:sz w:val="22"/>
                <w:szCs w:val="22"/>
              </w:rPr>
              <w:t>De la I a la VII. …</w:t>
            </w:r>
          </w:p>
        </w:tc>
        <w:tc>
          <w:tcPr>
            <w:tcW w:w="2500" w:type="pct"/>
          </w:tcPr>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r w:rsidRPr="00C33CFE">
              <w:rPr>
                <w:rFonts w:ascii="Tahoma" w:hAnsi="Tahoma" w:cs="Tahoma"/>
                <w:b/>
                <w:bCs/>
                <w:kern w:val="0"/>
                <w:sz w:val="22"/>
                <w:szCs w:val="22"/>
                <w:lang w:val="es-MX"/>
              </w:rPr>
              <w:t>CAPÍTULO I</w:t>
            </w:r>
          </w:p>
          <w:p w:rsidR="006D638F" w:rsidRPr="00C33CFE" w:rsidRDefault="006D638F" w:rsidP="00E2061F">
            <w:pPr>
              <w:pStyle w:val="Default"/>
              <w:jc w:val="center"/>
              <w:rPr>
                <w:rFonts w:ascii="Tahoma" w:hAnsi="Tahoma" w:cs="Tahoma"/>
                <w:b/>
                <w:bCs/>
                <w:color w:val="auto"/>
                <w:sz w:val="22"/>
                <w:szCs w:val="22"/>
              </w:rPr>
            </w:pPr>
            <w:r w:rsidRPr="00C33CFE">
              <w:rPr>
                <w:rFonts w:ascii="Tahoma" w:hAnsi="Tahoma" w:cs="Tahoma"/>
                <w:b/>
                <w:bCs/>
                <w:color w:val="auto"/>
                <w:sz w:val="22"/>
                <w:szCs w:val="22"/>
              </w:rPr>
              <w:t>Del Consejo Estatal de Vivienda</w:t>
            </w: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C33CFE">
            <w:pPr>
              <w:pStyle w:val="Default"/>
              <w:jc w:val="both"/>
              <w:rPr>
                <w:rFonts w:ascii="Tahoma" w:hAnsi="Tahoma" w:cs="Tahoma"/>
                <w:color w:val="auto"/>
                <w:sz w:val="22"/>
                <w:szCs w:val="22"/>
              </w:rPr>
            </w:pPr>
            <w:r w:rsidRPr="00C33CFE">
              <w:rPr>
                <w:rFonts w:ascii="Tahoma" w:hAnsi="Tahoma" w:cs="Tahoma"/>
                <w:b/>
                <w:bCs/>
                <w:color w:val="auto"/>
                <w:sz w:val="22"/>
                <w:szCs w:val="22"/>
              </w:rPr>
              <w:t xml:space="preserve">Artículo 15.- </w:t>
            </w:r>
            <w:r w:rsidRPr="00C33CFE">
              <w:rPr>
                <w:rFonts w:ascii="Tahoma" w:hAnsi="Tahoma" w:cs="Tahoma"/>
                <w:color w:val="auto"/>
                <w:sz w:val="22"/>
                <w:szCs w:val="22"/>
              </w:rPr>
              <w:t>El Consejo tendrá las siguientes atribuciones:</w:t>
            </w:r>
          </w:p>
          <w:p w:rsidR="006D638F" w:rsidRPr="00C33CFE" w:rsidRDefault="006D638F" w:rsidP="00C33CFE">
            <w:pPr>
              <w:pStyle w:val="Default"/>
              <w:jc w:val="both"/>
              <w:rPr>
                <w:rFonts w:ascii="Tahoma" w:hAnsi="Tahoma" w:cs="Tahoma"/>
                <w:color w:val="auto"/>
                <w:sz w:val="22"/>
                <w:szCs w:val="22"/>
              </w:rPr>
            </w:pPr>
          </w:p>
          <w:p w:rsidR="006D638F" w:rsidRPr="00C33CFE" w:rsidRDefault="006D638F" w:rsidP="00C33CFE">
            <w:pPr>
              <w:pStyle w:val="Default"/>
              <w:jc w:val="both"/>
              <w:rPr>
                <w:rFonts w:ascii="Tahoma" w:hAnsi="Tahoma" w:cs="Tahoma"/>
                <w:color w:val="auto"/>
                <w:sz w:val="22"/>
                <w:szCs w:val="22"/>
              </w:rPr>
            </w:pPr>
            <w:r w:rsidRPr="00C33CFE">
              <w:rPr>
                <w:rFonts w:ascii="Tahoma" w:hAnsi="Tahoma" w:cs="Tahoma"/>
                <w:color w:val="auto"/>
                <w:sz w:val="22"/>
                <w:szCs w:val="22"/>
              </w:rPr>
              <w:t>De la I a la III. …</w:t>
            </w:r>
          </w:p>
          <w:p w:rsidR="006D638F" w:rsidRPr="00C33CFE" w:rsidRDefault="006D638F" w:rsidP="00C33CFE">
            <w:pPr>
              <w:pStyle w:val="Default"/>
              <w:jc w:val="both"/>
              <w:rPr>
                <w:rFonts w:ascii="Tahoma" w:hAnsi="Tahoma" w:cs="Tahoma"/>
                <w:color w:val="auto"/>
                <w:sz w:val="22"/>
                <w:szCs w:val="22"/>
              </w:rPr>
            </w:pPr>
          </w:p>
          <w:p w:rsidR="006D638F" w:rsidRPr="00C33CFE" w:rsidRDefault="006D638F" w:rsidP="00C33CFE">
            <w:pPr>
              <w:pStyle w:val="Default"/>
              <w:jc w:val="both"/>
              <w:rPr>
                <w:rFonts w:ascii="Tahoma" w:eastAsia="Arial" w:hAnsi="Tahoma" w:cs="Tahoma"/>
                <w:b/>
                <w:bCs/>
                <w:color w:val="auto"/>
                <w:sz w:val="22"/>
                <w:szCs w:val="22"/>
              </w:rPr>
            </w:pPr>
            <w:r w:rsidRPr="00C33CFE">
              <w:rPr>
                <w:rFonts w:ascii="Tahoma" w:hAnsi="Tahoma" w:cs="Tahoma"/>
                <w:b/>
                <w:color w:val="auto"/>
                <w:sz w:val="22"/>
                <w:szCs w:val="22"/>
              </w:rPr>
              <w:t xml:space="preserve">III Bis. </w:t>
            </w:r>
            <w:r w:rsidRPr="00C33CFE">
              <w:rPr>
                <w:rFonts w:ascii="Tahoma" w:eastAsia="Arial" w:hAnsi="Tahoma" w:cs="Tahoma"/>
                <w:b/>
                <w:bCs/>
                <w:color w:val="auto"/>
                <w:sz w:val="22"/>
                <w:szCs w:val="22"/>
              </w:rPr>
              <w:t xml:space="preserve">Impulsar iniciativas y sugerir proyectos para la creación y el desarrollo de viviendas en alquiler accesibles para aquellas personas con menores ingresos. </w:t>
            </w:r>
          </w:p>
          <w:p w:rsidR="006D638F" w:rsidRPr="00C33CFE" w:rsidRDefault="006D638F" w:rsidP="00C33CFE">
            <w:pPr>
              <w:pStyle w:val="Default"/>
              <w:jc w:val="both"/>
              <w:rPr>
                <w:rFonts w:ascii="Tahoma" w:eastAsia="Arial" w:hAnsi="Tahoma" w:cs="Tahoma"/>
                <w:b/>
                <w:bCs/>
                <w:color w:val="auto"/>
                <w:sz w:val="22"/>
                <w:szCs w:val="22"/>
              </w:rPr>
            </w:pPr>
          </w:p>
          <w:p w:rsidR="006D638F" w:rsidRPr="00C33CFE" w:rsidRDefault="006D638F" w:rsidP="00C33CFE">
            <w:pPr>
              <w:pStyle w:val="Default"/>
              <w:jc w:val="both"/>
              <w:rPr>
                <w:rFonts w:ascii="Tahoma" w:hAnsi="Tahoma" w:cs="Tahoma"/>
                <w:bCs/>
                <w:color w:val="auto"/>
                <w:sz w:val="22"/>
                <w:szCs w:val="22"/>
              </w:rPr>
            </w:pPr>
            <w:r w:rsidRPr="00C33CFE">
              <w:rPr>
                <w:rFonts w:ascii="Tahoma" w:eastAsia="Arial" w:hAnsi="Tahoma" w:cs="Tahoma"/>
                <w:bCs/>
                <w:color w:val="auto"/>
                <w:sz w:val="22"/>
                <w:szCs w:val="22"/>
              </w:rPr>
              <w:t>De la IV a la VII. …</w:t>
            </w:r>
          </w:p>
        </w:tc>
      </w:tr>
      <w:tr w:rsidR="00C33CFE" w:rsidRPr="00C33CFE" w:rsidTr="00E2061F">
        <w:tc>
          <w:tcPr>
            <w:tcW w:w="2500" w:type="pct"/>
          </w:tcPr>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r w:rsidRPr="00C33CFE">
              <w:rPr>
                <w:rFonts w:ascii="Tahoma" w:hAnsi="Tahoma" w:cs="Tahoma"/>
                <w:b/>
                <w:bCs/>
                <w:kern w:val="0"/>
                <w:sz w:val="22"/>
                <w:szCs w:val="22"/>
                <w:lang w:val="es-MX"/>
              </w:rPr>
              <w:t>CAPÍTULO IV</w:t>
            </w:r>
          </w:p>
          <w:p w:rsidR="006D638F" w:rsidRPr="00C33CFE" w:rsidRDefault="006D638F" w:rsidP="00E2061F">
            <w:pPr>
              <w:pStyle w:val="Default"/>
              <w:jc w:val="center"/>
              <w:rPr>
                <w:rFonts w:ascii="Tahoma" w:hAnsi="Tahoma" w:cs="Tahoma"/>
                <w:b/>
                <w:bCs/>
                <w:color w:val="auto"/>
                <w:sz w:val="22"/>
                <w:szCs w:val="22"/>
              </w:rPr>
            </w:pPr>
            <w:r w:rsidRPr="00C33CFE">
              <w:rPr>
                <w:rFonts w:ascii="Tahoma" w:hAnsi="Tahoma" w:cs="Tahoma"/>
                <w:b/>
                <w:bCs/>
                <w:color w:val="auto"/>
                <w:sz w:val="22"/>
                <w:szCs w:val="22"/>
              </w:rPr>
              <w:t>Del Instituto de Vivienda del Estado de Yucatán</w:t>
            </w: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E2061F">
            <w:pPr>
              <w:pStyle w:val="Default"/>
              <w:rPr>
                <w:rFonts w:ascii="Tahoma" w:hAnsi="Tahoma" w:cs="Tahoma"/>
                <w:color w:val="auto"/>
                <w:sz w:val="22"/>
                <w:szCs w:val="22"/>
              </w:rPr>
            </w:pPr>
            <w:r w:rsidRPr="00C33CFE">
              <w:rPr>
                <w:rFonts w:ascii="Tahoma" w:hAnsi="Tahoma" w:cs="Tahoma"/>
                <w:b/>
                <w:bCs/>
                <w:color w:val="auto"/>
                <w:sz w:val="22"/>
                <w:szCs w:val="22"/>
              </w:rPr>
              <w:t xml:space="preserve">Artículo 22.- </w:t>
            </w:r>
            <w:r w:rsidRPr="00C33CFE">
              <w:rPr>
                <w:rFonts w:ascii="Tahoma" w:hAnsi="Tahoma" w:cs="Tahoma"/>
                <w:color w:val="auto"/>
                <w:sz w:val="22"/>
                <w:szCs w:val="22"/>
              </w:rPr>
              <w:t>Para los efectos de esta Ley, el Instituto tendrá las siguientes atribuciones:</w:t>
            </w:r>
          </w:p>
          <w:p w:rsidR="006D638F" w:rsidRPr="00C33CFE" w:rsidRDefault="006D638F" w:rsidP="00E2061F">
            <w:pPr>
              <w:pStyle w:val="Default"/>
              <w:rPr>
                <w:rFonts w:ascii="Tahoma" w:hAnsi="Tahoma" w:cs="Tahoma"/>
                <w:color w:val="auto"/>
                <w:sz w:val="22"/>
                <w:szCs w:val="22"/>
              </w:rPr>
            </w:pPr>
          </w:p>
          <w:p w:rsidR="006D638F" w:rsidRPr="00C33CFE" w:rsidRDefault="006D638F" w:rsidP="00E2061F">
            <w:pPr>
              <w:pStyle w:val="Default"/>
              <w:rPr>
                <w:rFonts w:ascii="Tahoma" w:hAnsi="Tahoma" w:cs="Tahoma"/>
                <w:b/>
                <w:bCs/>
                <w:color w:val="auto"/>
                <w:sz w:val="22"/>
                <w:szCs w:val="22"/>
              </w:rPr>
            </w:pPr>
            <w:r w:rsidRPr="00C33CFE">
              <w:rPr>
                <w:rFonts w:ascii="Tahoma" w:hAnsi="Tahoma" w:cs="Tahoma"/>
                <w:b/>
                <w:bCs/>
                <w:color w:val="auto"/>
                <w:sz w:val="22"/>
                <w:szCs w:val="22"/>
              </w:rPr>
              <w:t xml:space="preserve">I.- </w:t>
            </w:r>
            <w:r w:rsidRPr="00C33CFE">
              <w:rPr>
                <w:rFonts w:ascii="Tahoma" w:hAnsi="Tahoma" w:cs="Tahoma"/>
                <w:color w:val="auto"/>
                <w:sz w:val="22"/>
                <w:szCs w:val="22"/>
              </w:rPr>
              <w:t>Ejecutar, coordinar, impulsar y dar seguimiento a los programas de construcción, adquisición, mejoramiento y financiamiento de la vivienda en sus diferentes modalidades como la autoconstrucción, arrendamiento y lotes con servicios, o cualquier otro programa de vivienda, con particular atención a las necesidades de los grupos en situación de vulnerabilidad;</w:t>
            </w:r>
          </w:p>
        </w:tc>
        <w:tc>
          <w:tcPr>
            <w:tcW w:w="2500" w:type="pct"/>
          </w:tcPr>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r w:rsidRPr="00C33CFE">
              <w:rPr>
                <w:rFonts w:ascii="Tahoma" w:hAnsi="Tahoma" w:cs="Tahoma"/>
                <w:b/>
                <w:bCs/>
                <w:kern w:val="0"/>
                <w:sz w:val="22"/>
                <w:szCs w:val="22"/>
                <w:lang w:val="es-MX"/>
              </w:rPr>
              <w:t>CAPÍTULO IV</w:t>
            </w:r>
          </w:p>
          <w:p w:rsidR="006D638F" w:rsidRPr="00C33CFE" w:rsidRDefault="006D638F" w:rsidP="00E2061F">
            <w:pPr>
              <w:pStyle w:val="Default"/>
              <w:jc w:val="center"/>
              <w:rPr>
                <w:rFonts w:ascii="Tahoma" w:hAnsi="Tahoma" w:cs="Tahoma"/>
                <w:b/>
                <w:bCs/>
                <w:color w:val="auto"/>
                <w:sz w:val="22"/>
                <w:szCs w:val="22"/>
              </w:rPr>
            </w:pPr>
            <w:r w:rsidRPr="00C33CFE">
              <w:rPr>
                <w:rFonts w:ascii="Tahoma" w:hAnsi="Tahoma" w:cs="Tahoma"/>
                <w:b/>
                <w:bCs/>
                <w:color w:val="auto"/>
                <w:sz w:val="22"/>
                <w:szCs w:val="22"/>
              </w:rPr>
              <w:t>Del Instituto de Vivienda del Estado de Yucatán</w:t>
            </w: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C33CFE">
            <w:pPr>
              <w:pStyle w:val="Default"/>
              <w:jc w:val="both"/>
              <w:rPr>
                <w:rFonts w:ascii="Tahoma" w:hAnsi="Tahoma" w:cs="Tahoma"/>
                <w:color w:val="auto"/>
                <w:sz w:val="22"/>
                <w:szCs w:val="22"/>
              </w:rPr>
            </w:pPr>
            <w:r w:rsidRPr="00C33CFE">
              <w:rPr>
                <w:rFonts w:ascii="Tahoma" w:hAnsi="Tahoma" w:cs="Tahoma"/>
                <w:b/>
                <w:bCs/>
                <w:color w:val="auto"/>
                <w:sz w:val="22"/>
                <w:szCs w:val="22"/>
              </w:rPr>
              <w:t xml:space="preserve">Artículo 22.- </w:t>
            </w:r>
            <w:r w:rsidRPr="00C33CFE">
              <w:rPr>
                <w:rFonts w:ascii="Tahoma" w:hAnsi="Tahoma" w:cs="Tahoma"/>
                <w:color w:val="auto"/>
                <w:sz w:val="22"/>
                <w:szCs w:val="22"/>
              </w:rPr>
              <w:t>Para los efectos de esta Ley, el Instituto tendrá las siguientes atribuciones:</w:t>
            </w:r>
          </w:p>
          <w:p w:rsidR="006D638F" w:rsidRPr="00C33CFE" w:rsidRDefault="006D638F" w:rsidP="00C33CFE">
            <w:pPr>
              <w:pStyle w:val="Default"/>
              <w:jc w:val="both"/>
              <w:rPr>
                <w:rFonts w:ascii="Tahoma" w:hAnsi="Tahoma" w:cs="Tahoma"/>
                <w:color w:val="auto"/>
                <w:sz w:val="22"/>
                <w:szCs w:val="22"/>
              </w:rPr>
            </w:pPr>
          </w:p>
          <w:p w:rsidR="006D638F" w:rsidRPr="00C33CFE" w:rsidRDefault="006D638F" w:rsidP="00C33CFE">
            <w:pPr>
              <w:pStyle w:val="Default"/>
              <w:jc w:val="both"/>
              <w:rPr>
                <w:rFonts w:ascii="Tahoma" w:hAnsi="Tahoma" w:cs="Tahoma"/>
                <w:b/>
                <w:bCs/>
                <w:color w:val="auto"/>
                <w:sz w:val="22"/>
                <w:szCs w:val="22"/>
              </w:rPr>
            </w:pPr>
            <w:r w:rsidRPr="00C33CFE">
              <w:rPr>
                <w:rFonts w:ascii="Tahoma" w:hAnsi="Tahoma" w:cs="Tahoma"/>
                <w:b/>
                <w:bCs/>
                <w:color w:val="auto"/>
                <w:sz w:val="22"/>
                <w:szCs w:val="22"/>
              </w:rPr>
              <w:t xml:space="preserve">I.- </w:t>
            </w:r>
            <w:r w:rsidRPr="00C33CFE">
              <w:rPr>
                <w:rFonts w:ascii="Tahoma" w:hAnsi="Tahoma" w:cs="Tahoma"/>
                <w:color w:val="auto"/>
                <w:sz w:val="22"/>
                <w:szCs w:val="22"/>
              </w:rPr>
              <w:t xml:space="preserve">Ejecutar, coordinar, impulsar y dar seguimiento a los programas de construcción, adquisición, mejoramiento y financiamiento de la vivienda en sus diferentes modalidades como la autoconstrucción, arrendamiento </w:t>
            </w:r>
            <w:r w:rsidRPr="00C33CFE">
              <w:rPr>
                <w:rFonts w:ascii="Tahoma" w:eastAsia="Arial" w:hAnsi="Tahoma" w:cs="Tahoma"/>
                <w:b/>
                <w:bCs/>
                <w:color w:val="auto"/>
                <w:sz w:val="22"/>
                <w:szCs w:val="22"/>
              </w:rPr>
              <w:t>asequible para las personas de menores ingresos</w:t>
            </w:r>
            <w:r w:rsidRPr="00C33CFE">
              <w:rPr>
                <w:rFonts w:ascii="Tahoma" w:eastAsia="Arial" w:hAnsi="Tahoma" w:cs="Tahoma"/>
                <w:bCs/>
                <w:color w:val="auto"/>
                <w:sz w:val="22"/>
                <w:szCs w:val="22"/>
              </w:rPr>
              <w:t xml:space="preserve"> </w:t>
            </w:r>
            <w:r w:rsidRPr="00C33CFE">
              <w:rPr>
                <w:rFonts w:ascii="Tahoma" w:hAnsi="Tahoma" w:cs="Tahoma"/>
                <w:color w:val="auto"/>
                <w:sz w:val="22"/>
                <w:szCs w:val="22"/>
              </w:rPr>
              <w:t>y lotes con servicios, o cualquier otro programa de vivienda, con particular atención a las necesidades de los grupos en situación de vulnerabilidad;</w:t>
            </w:r>
          </w:p>
        </w:tc>
      </w:tr>
      <w:tr w:rsidR="00C33CFE" w:rsidRPr="00C33CFE" w:rsidTr="00E2061F">
        <w:tc>
          <w:tcPr>
            <w:tcW w:w="2500" w:type="pct"/>
          </w:tcPr>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r w:rsidRPr="00C33CFE">
              <w:rPr>
                <w:rFonts w:ascii="Tahoma" w:hAnsi="Tahoma" w:cs="Tahoma"/>
                <w:b/>
                <w:bCs/>
                <w:kern w:val="0"/>
                <w:sz w:val="22"/>
                <w:szCs w:val="22"/>
                <w:lang w:val="es-MX"/>
              </w:rPr>
              <w:t>TÍTULO SÉPTIMO</w:t>
            </w:r>
          </w:p>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r w:rsidRPr="00C33CFE">
              <w:rPr>
                <w:rFonts w:ascii="Tahoma" w:hAnsi="Tahoma" w:cs="Tahoma"/>
                <w:b/>
                <w:bCs/>
                <w:kern w:val="0"/>
                <w:sz w:val="22"/>
                <w:szCs w:val="22"/>
                <w:lang w:val="es-MX"/>
              </w:rPr>
              <w:t>COORDINACIÓN Y CONCERTACIÓN CON LOS SECTORES</w:t>
            </w:r>
          </w:p>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r w:rsidRPr="00C33CFE">
              <w:rPr>
                <w:rFonts w:ascii="Tahoma" w:hAnsi="Tahoma" w:cs="Tahoma"/>
                <w:b/>
                <w:bCs/>
                <w:kern w:val="0"/>
                <w:sz w:val="22"/>
                <w:szCs w:val="22"/>
                <w:lang w:val="es-MX"/>
              </w:rPr>
              <w:t>PÚBLICO, SOCIAL Y PRIVADO</w:t>
            </w:r>
          </w:p>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p>
          <w:p w:rsidR="006D638F" w:rsidRPr="00C33CFE" w:rsidRDefault="006D638F" w:rsidP="00E2061F">
            <w:pPr>
              <w:autoSpaceDE w:val="0"/>
              <w:autoSpaceDN w:val="0"/>
              <w:adjustRightInd w:val="0"/>
              <w:ind w:firstLine="0"/>
              <w:jc w:val="center"/>
              <w:rPr>
                <w:rFonts w:ascii="Tahoma" w:hAnsi="Tahoma" w:cs="Tahoma"/>
                <w:kern w:val="0"/>
                <w:sz w:val="22"/>
                <w:szCs w:val="22"/>
                <w:lang w:val="es-MX"/>
              </w:rPr>
            </w:pPr>
            <w:r w:rsidRPr="00C33CFE">
              <w:rPr>
                <w:rFonts w:ascii="Tahoma" w:hAnsi="Tahoma" w:cs="Tahoma"/>
                <w:b/>
                <w:bCs/>
                <w:kern w:val="0"/>
                <w:sz w:val="22"/>
                <w:szCs w:val="22"/>
                <w:lang w:val="es-MX"/>
              </w:rPr>
              <w:t>CAPÍTULO ÚNICO</w:t>
            </w:r>
          </w:p>
          <w:p w:rsidR="006D638F" w:rsidRPr="00C33CFE" w:rsidRDefault="006D638F" w:rsidP="00E2061F">
            <w:pPr>
              <w:autoSpaceDE w:val="0"/>
              <w:autoSpaceDN w:val="0"/>
              <w:adjustRightInd w:val="0"/>
              <w:ind w:firstLine="0"/>
              <w:jc w:val="center"/>
              <w:rPr>
                <w:rFonts w:ascii="Tahoma" w:hAnsi="Tahoma" w:cs="Tahoma"/>
                <w:b/>
                <w:bCs/>
                <w:kern w:val="0"/>
                <w:sz w:val="22"/>
                <w:szCs w:val="22"/>
                <w:lang w:val="es-MX"/>
              </w:rPr>
            </w:pPr>
            <w:r w:rsidRPr="00C33CFE">
              <w:rPr>
                <w:rFonts w:ascii="Tahoma" w:hAnsi="Tahoma" w:cs="Tahoma"/>
                <w:b/>
                <w:bCs/>
                <w:kern w:val="0"/>
                <w:sz w:val="22"/>
                <w:szCs w:val="22"/>
                <w:lang w:val="es-MX"/>
              </w:rPr>
              <w:t>Disposiciones Generales</w:t>
            </w:r>
          </w:p>
          <w:p w:rsidR="006D638F" w:rsidRPr="00C33CFE" w:rsidRDefault="006D638F" w:rsidP="00E2061F">
            <w:pPr>
              <w:autoSpaceDE w:val="0"/>
              <w:autoSpaceDN w:val="0"/>
              <w:adjustRightInd w:val="0"/>
              <w:ind w:firstLine="0"/>
              <w:rPr>
                <w:rFonts w:ascii="Tahoma" w:hAnsi="Tahoma" w:cs="Tahoma"/>
                <w:b/>
                <w:bCs/>
                <w:kern w:val="0"/>
                <w:sz w:val="22"/>
                <w:szCs w:val="22"/>
                <w:lang w:val="es-MX"/>
              </w:rPr>
            </w:pPr>
          </w:p>
          <w:p w:rsidR="006D638F" w:rsidRPr="00C33CFE" w:rsidRDefault="006D638F" w:rsidP="00E2061F">
            <w:pPr>
              <w:autoSpaceDE w:val="0"/>
              <w:autoSpaceDN w:val="0"/>
              <w:adjustRightInd w:val="0"/>
              <w:ind w:firstLine="0"/>
              <w:rPr>
                <w:rFonts w:ascii="Tahoma" w:hAnsi="Tahoma" w:cs="Tahoma"/>
                <w:kern w:val="0"/>
                <w:sz w:val="22"/>
                <w:szCs w:val="22"/>
                <w:lang w:val="es-MX"/>
              </w:rPr>
            </w:pPr>
            <w:r w:rsidRPr="00C33CFE">
              <w:rPr>
                <w:rFonts w:ascii="Tahoma" w:hAnsi="Tahoma" w:cs="Tahoma"/>
                <w:b/>
                <w:bCs/>
                <w:kern w:val="0"/>
                <w:sz w:val="22"/>
                <w:szCs w:val="22"/>
                <w:lang w:val="es-MX"/>
              </w:rPr>
              <w:t xml:space="preserve">Artículo 73.- </w:t>
            </w:r>
            <w:r w:rsidRPr="00C33CFE">
              <w:rPr>
                <w:rFonts w:ascii="Tahoma" w:hAnsi="Tahoma" w:cs="Tahoma"/>
                <w:kern w:val="0"/>
                <w:sz w:val="22"/>
                <w:szCs w:val="22"/>
                <w:lang w:val="es-MX"/>
              </w:rPr>
              <w:t xml:space="preserve">El Instituto, en coordinación con el Comité, celebrará convenios con los diferentes sectores de la sociedad, orientados a la investigación, asesoría y soporte técnico en materia de vivienda. </w:t>
            </w:r>
          </w:p>
          <w:p w:rsidR="006D638F" w:rsidRPr="00C33CFE" w:rsidRDefault="006D638F" w:rsidP="00E2061F">
            <w:pPr>
              <w:autoSpaceDE w:val="0"/>
              <w:autoSpaceDN w:val="0"/>
              <w:adjustRightInd w:val="0"/>
              <w:ind w:firstLine="0"/>
              <w:rPr>
                <w:rFonts w:ascii="Tahoma" w:hAnsi="Tahoma" w:cs="Tahoma"/>
                <w:kern w:val="0"/>
                <w:sz w:val="22"/>
                <w:szCs w:val="22"/>
                <w:lang w:val="es-MX"/>
              </w:rPr>
            </w:pPr>
          </w:p>
          <w:p w:rsidR="006D638F" w:rsidRPr="00C33CFE" w:rsidRDefault="006D638F" w:rsidP="00E2061F">
            <w:pPr>
              <w:pStyle w:val="Default"/>
              <w:rPr>
                <w:rFonts w:ascii="Tahoma" w:hAnsi="Tahoma" w:cs="Tahoma"/>
                <w:color w:val="auto"/>
                <w:sz w:val="22"/>
                <w:szCs w:val="22"/>
              </w:rPr>
            </w:pPr>
            <w:r w:rsidRPr="00C33CFE">
              <w:rPr>
                <w:rFonts w:ascii="Tahoma" w:hAnsi="Tahoma" w:cs="Tahoma"/>
                <w:color w:val="auto"/>
                <w:sz w:val="22"/>
                <w:szCs w:val="22"/>
              </w:rPr>
              <w:t>Los convenios que se celebren, tendrán por objeto, principalmente, lo siguiente:</w:t>
            </w:r>
          </w:p>
          <w:p w:rsidR="006D638F" w:rsidRPr="00C33CFE" w:rsidRDefault="006D638F" w:rsidP="00E2061F">
            <w:pPr>
              <w:pStyle w:val="Default"/>
              <w:rPr>
                <w:rFonts w:ascii="Tahoma" w:hAnsi="Tahoma" w:cs="Tahoma"/>
                <w:color w:val="auto"/>
                <w:sz w:val="22"/>
                <w:szCs w:val="22"/>
              </w:rPr>
            </w:pPr>
          </w:p>
          <w:p w:rsidR="006D638F" w:rsidRPr="00C33CFE" w:rsidRDefault="006D638F" w:rsidP="00E2061F">
            <w:pPr>
              <w:pStyle w:val="Default"/>
              <w:rPr>
                <w:rFonts w:ascii="Tahoma" w:hAnsi="Tahoma" w:cs="Tahoma"/>
                <w:b/>
                <w:bCs/>
                <w:color w:val="auto"/>
                <w:sz w:val="22"/>
                <w:szCs w:val="22"/>
              </w:rPr>
            </w:pPr>
            <w:r w:rsidRPr="00C33CFE">
              <w:rPr>
                <w:rFonts w:ascii="Tahoma" w:hAnsi="Tahoma" w:cs="Tahoma"/>
                <w:b/>
                <w:bCs/>
                <w:color w:val="auto"/>
                <w:sz w:val="22"/>
                <w:szCs w:val="22"/>
              </w:rPr>
              <w:t xml:space="preserve">I.- </w:t>
            </w:r>
            <w:r w:rsidRPr="00C33CFE">
              <w:rPr>
                <w:rFonts w:ascii="Tahoma" w:hAnsi="Tahoma" w:cs="Tahoma"/>
                <w:color w:val="auto"/>
                <w:sz w:val="22"/>
                <w:szCs w:val="22"/>
              </w:rPr>
              <w:t>Buscar el acceso de un mayor número de personas, sectores e instituciones a los programas y acciones que busquen satisfacer las necesidades de vivienda en el Estado;</w:t>
            </w:r>
          </w:p>
        </w:tc>
        <w:tc>
          <w:tcPr>
            <w:tcW w:w="2500" w:type="pct"/>
          </w:tcPr>
          <w:p w:rsidR="006D638F" w:rsidRPr="00C33CFE" w:rsidRDefault="006D638F" w:rsidP="00E2061F">
            <w:pPr>
              <w:autoSpaceDE w:val="0"/>
              <w:autoSpaceDN w:val="0"/>
              <w:adjustRightInd w:val="0"/>
              <w:ind w:firstLine="0"/>
              <w:jc w:val="center"/>
              <w:rPr>
                <w:rFonts w:ascii="Tahoma" w:hAnsi="Tahoma" w:cs="Tahoma"/>
                <w:b/>
                <w:kern w:val="0"/>
                <w:sz w:val="22"/>
                <w:szCs w:val="22"/>
                <w:lang w:val="es-MX"/>
              </w:rPr>
            </w:pPr>
            <w:r w:rsidRPr="00C33CFE">
              <w:rPr>
                <w:rFonts w:ascii="Tahoma" w:hAnsi="Tahoma" w:cs="Tahoma"/>
                <w:b/>
                <w:bCs/>
                <w:kern w:val="0"/>
                <w:sz w:val="22"/>
                <w:szCs w:val="22"/>
                <w:lang w:val="es-MX"/>
              </w:rPr>
              <w:t>TÍTULO SÉPTIMO</w:t>
            </w:r>
          </w:p>
          <w:p w:rsidR="006D638F" w:rsidRPr="00C33CFE" w:rsidRDefault="006D638F" w:rsidP="00E2061F">
            <w:pPr>
              <w:autoSpaceDE w:val="0"/>
              <w:autoSpaceDN w:val="0"/>
              <w:adjustRightInd w:val="0"/>
              <w:ind w:firstLine="0"/>
              <w:jc w:val="center"/>
              <w:rPr>
                <w:rFonts w:ascii="Tahoma" w:hAnsi="Tahoma" w:cs="Tahoma"/>
                <w:b/>
                <w:kern w:val="0"/>
                <w:sz w:val="22"/>
                <w:szCs w:val="22"/>
                <w:lang w:val="es-MX"/>
              </w:rPr>
            </w:pPr>
            <w:r w:rsidRPr="00C33CFE">
              <w:rPr>
                <w:rFonts w:ascii="Tahoma" w:hAnsi="Tahoma" w:cs="Tahoma"/>
                <w:b/>
                <w:bCs/>
                <w:kern w:val="0"/>
                <w:sz w:val="22"/>
                <w:szCs w:val="22"/>
                <w:lang w:val="es-MX"/>
              </w:rPr>
              <w:t>COORDINACIÓN Y CONCERTACIÓN CON LOS SECTORES</w:t>
            </w:r>
          </w:p>
          <w:p w:rsidR="006D638F" w:rsidRPr="00C33CFE" w:rsidRDefault="006D638F" w:rsidP="00E2061F">
            <w:pPr>
              <w:autoSpaceDE w:val="0"/>
              <w:autoSpaceDN w:val="0"/>
              <w:adjustRightInd w:val="0"/>
              <w:ind w:firstLine="0"/>
              <w:jc w:val="center"/>
              <w:rPr>
                <w:rFonts w:ascii="Tahoma" w:hAnsi="Tahoma" w:cs="Tahoma"/>
                <w:b/>
                <w:kern w:val="0"/>
                <w:sz w:val="22"/>
                <w:szCs w:val="22"/>
                <w:lang w:val="es-MX"/>
              </w:rPr>
            </w:pPr>
            <w:r w:rsidRPr="00C33CFE">
              <w:rPr>
                <w:rFonts w:ascii="Tahoma" w:hAnsi="Tahoma" w:cs="Tahoma"/>
                <w:b/>
                <w:bCs/>
                <w:kern w:val="0"/>
                <w:sz w:val="22"/>
                <w:szCs w:val="22"/>
                <w:lang w:val="es-MX"/>
              </w:rPr>
              <w:t>PÚBLICO, SOCIAL Y PRIVADO</w:t>
            </w:r>
          </w:p>
          <w:p w:rsidR="006D638F" w:rsidRPr="00C33CFE" w:rsidRDefault="006D638F" w:rsidP="00E2061F">
            <w:pPr>
              <w:autoSpaceDE w:val="0"/>
              <w:autoSpaceDN w:val="0"/>
              <w:adjustRightInd w:val="0"/>
              <w:ind w:firstLine="0"/>
              <w:jc w:val="center"/>
              <w:rPr>
                <w:rFonts w:ascii="Tahoma" w:hAnsi="Tahoma" w:cs="Tahoma"/>
                <w:b/>
                <w:kern w:val="0"/>
                <w:sz w:val="22"/>
                <w:szCs w:val="22"/>
                <w:lang w:val="es-MX"/>
              </w:rPr>
            </w:pPr>
            <w:r w:rsidRPr="00C33CFE">
              <w:rPr>
                <w:rFonts w:ascii="Tahoma" w:hAnsi="Tahoma" w:cs="Tahoma"/>
                <w:b/>
                <w:i/>
                <w:iCs/>
                <w:kern w:val="0"/>
                <w:sz w:val="22"/>
                <w:szCs w:val="22"/>
                <w:lang w:val="es-MX"/>
              </w:rPr>
              <w:t xml:space="preserve"> </w:t>
            </w:r>
          </w:p>
          <w:p w:rsidR="006D638F" w:rsidRPr="00C33CFE" w:rsidRDefault="006D638F" w:rsidP="00E2061F">
            <w:pPr>
              <w:autoSpaceDE w:val="0"/>
              <w:autoSpaceDN w:val="0"/>
              <w:adjustRightInd w:val="0"/>
              <w:ind w:firstLine="0"/>
              <w:jc w:val="center"/>
              <w:rPr>
                <w:rFonts w:ascii="Tahoma" w:hAnsi="Tahoma" w:cs="Tahoma"/>
                <w:b/>
                <w:kern w:val="0"/>
                <w:sz w:val="22"/>
                <w:szCs w:val="22"/>
                <w:lang w:val="es-MX"/>
              </w:rPr>
            </w:pPr>
            <w:r w:rsidRPr="00C33CFE">
              <w:rPr>
                <w:rFonts w:ascii="Tahoma" w:hAnsi="Tahoma" w:cs="Tahoma"/>
                <w:b/>
                <w:bCs/>
                <w:kern w:val="0"/>
                <w:sz w:val="22"/>
                <w:szCs w:val="22"/>
                <w:lang w:val="es-MX"/>
              </w:rPr>
              <w:t>CAPÍTULO ÚNICO</w:t>
            </w:r>
          </w:p>
          <w:p w:rsidR="006D638F" w:rsidRPr="00C33CFE" w:rsidRDefault="006D638F" w:rsidP="00E2061F">
            <w:pPr>
              <w:autoSpaceDE w:val="0"/>
              <w:autoSpaceDN w:val="0"/>
              <w:adjustRightInd w:val="0"/>
              <w:ind w:firstLine="0"/>
              <w:jc w:val="center"/>
              <w:rPr>
                <w:rFonts w:ascii="Tahoma" w:hAnsi="Tahoma" w:cs="Tahoma"/>
                <w:b/>
                <w:bCs/>
                <w:kern w:val="0"/>
                <w:sz w:val="22"/>
                <w:szCs w:val="22"/>
                <w:lang w:val="es-MX"/>
              </w:rPr>
            </w:pPr>
            <w:r w:rsidRPr="00C33CFE">
              <w:rPr>
                <w:rFonts w:ascii="Tahoma" w:hAnsi="Tahoma" w:cs="Tahoma"/>
                <w:b/>
                <w:bCs/>
                <w:kern w:val="0"/>
                <w:sz w:val="22"/>
                <w:szCs w:val="22"/>
                <w:lang w:val="es-MX"/>
              </w:rPr>
              <w:t>Disposiciones Generales</w:t>
            </w:r>
          </w:p>
          <w:p w:rsidR="006D638F" w:rsidRPr="00C33CFE" w:rsidRDefault="006D638F" w:rsidP="00E2061F">
            <w:pPr>
              <w:autoSpaceDE w:val="0"/>
              <w:autoSpaceDN w:val="0"/>
              <w:adjustRightInd w:val="0"/>
              <w:ind w:firstLine="0"/>
              <w:rPr>
                <w:rFonts w:ascii="Tahoma" w:hAnsi="Tahoma" w:cs="Tahoma"/>
                <w:b/>
                <w:bCs/>
                <w:kern w:val="0"/>
                <w:sz w:val="22"/>
                <w:szCs w:val="22"/>
                <w:lang w:val="es-MX"/>
              </w:rPr>
            </w:pPr>
          </w:p>
          <w:p w:rsidR="006D638F" w:rsidRPr="00C33CFE" w:rsidRDefault="006D638F" w:rsidP="00E2061F">
            <w:pPr>
              <w:autoSpaceDE w:val="0"/>
              <w:autoSpaceDN w:val="0"/>
              <w:adjustRightInd w:val="0"/>
              <w:ind w:firstLine="0"/>
              <w:rPr>
                <w:rFonts w:ascii="Tahoma" w:hAnsi="Tahoma" w:cs="Tahoma"/>
                <w:b/>
                <w:kern w:val="0"/>
                <w:sz w:val="22"/>
                <w:szCs w:val="22"/>
                <w:lang w:val="es-MX"/>
              </w:rPr>
            </w:pPr>
            <w:r w:rsidRPr="00C33CFE">
              <w:rPr>
                <w:rFonts w:ascii="Tahoma" w:hAnsi="Tahoma" w:cs="Tahoma"/>
                <w:b/>
                <w:bCs/>
                <w:kern w:val="0"/>
                <w:sz w:val="22"/>
                <w:szCs w:val="22"/>
                <w:lang w:val="es-MX"/>
              </w:rPr>
              <w:t xml:space="preserve">Artículo 73.- </w:t>
            </w:r>
            <w:r w:rsidRPr="00C33CFE">
              <w:rPr>
                <w:rFonts w:ascii="Tahoma" w:hAnsi="Tahoma" w:cs="Tahoma"/>
                <w:b/>
                <w:kern w:val="0"/>
                <w:sz w:val="22"/>
                <w:szCs w:val="22"/>
                <w:lang w:val="es-MX"/>
              </w:rPr>
              <w:t xml:space="preserve">El Instituto, en coordinación con el Comité, celebrará convenios con los diferentes sectores de la sociedad, orientados a la investigación, asesoría y soporte técnico en materia de vivienda. </w:t>
            </w:r>
          </w:p>
          <w:p w:rsidR="006D638F" w:rsidRPr="00C33CFE" w:rsidRDefault="006D638F" w:rsidP="00E2061F">
            <w:pPr>
              <w:autoSpaceDE w:val="0"/>
              <w:autoSpaceDN w:val="0"/>
              <w:adjustRightInd w:val="0"/>
              <w:ind w:firstLine="0"/>
              <w:rPr>
                <w:rFonts w:ascii="Tahoma" w:hAnsi="Tahoma" w:cs="Tahoma"/>
                <w:b/>
                <w:kern w:val="0"/>
                <w:sz w:val="22"/>
                <w:szCs w:val="22"/>
                <w:lang w:val="es-MX"/>
              </w:rPr>
            </w:pPr>
          </w:p>
          <w:p w:rsidR="006D638F" w:rsidRPr="00C33CFE" w:rsidRDefault="006D638F" w:rsidP="00E2061F">
            <w:pPr>
              <w:pStyle w:val="Default"/>
              <w:rPr>
                <w:rFonts w:ascii="Tahoma" w:hAnsi="Tahoma" w:cs="Tahoma"/>
                <w:b/>
                <w:color w:val="auto"/>
                <w:sz w:val="22"/>
                <w:szCs w:val="22"/>
              </w:rPr>
            </w:pPr>
            <w:r w:rsidRPr="00C33CFE">
              <w:rPr>
                <w:rFonts w:ascii="Tahoma" w:hAnsi="Tahoma" w:cs="Tahoma"/>
                <w:b/>
                <w:color w:val="auto"/>
                <w:sz w:val="22"/>
                <w:szCs w:val="22"/>
              </w:rPr>
              <w:t>Los convenios que se celebren, tendrán por objeto, principalmente, lo siguiente:</w:t>
            </w:r>
          </w:p>
          <w:p w:rsidR="006D638F" w:rsidRPr="00C33CFE" w:rsidRDefault="006D638F" w:rsidP="00E2061F">
            <w:pPr>
              <w:pStyle w:val="Default"/>
              <w:rPr>
                <w:rFonts w:ascii="Tahoma" w:hAnsi="Tahoma" w:cs="Tahoma"/>
                <w:b/>
                <w:color w:val="auto"/>
                <w:sz w:val="22"/>
                <w:szCs w:val="22"/>
              </w:rPr>
            </w:pPr>
          </w:p>
          <w:p w:rsidR="006D638F" w:rsidRPr="00C33CFE" w:rsidRDefault="006D638F" w:rsidP="006D638F">
            <w:pPr>
              <w:pStyle w:val="Default"/>
              <w:numPr>
                <w:ilvl w:val="0"/>
                <w:numId w:val="14"/>
              </w:numPr>
              <w:jc w:val="both"/>
              <w:rPr>
                <w:rFonts w:ascii="Tahoma" w:hAnsi="Tahoma" w:cs="Tahoma"/>
                <w:b/>
                <w:bCs/>
                <w:color w:val="auto"/>
                <w:sz w:val="22"/>
                <w:szCs w:val="22"/>
              </w:rPr>
            </w:pPr>
            <w:r w:rsidRPr="00C33CFE">
              <w:rPr>
                <w:rFonts w:ascii="Tahoma" w:hAnsi="Tahoma" w:cs="Tahoma"/>
                <w:b/>
                <w:bCs/>
                <w:color w:val="auto"/>
                <w:sz w:val="22"/>
                <w:szCs w:val="22"/>
              </w:rPr>
              <w:t xml:space="preserve">Buscar que más personas accedan a una vivienda apropiada, creando formas que aseguren este derecho, especialmente para aquellos en condiciones de pobreza, así como para trabajadores, personas mayores, mujeres, padres y madres solteros, personas con discapacidades, poblaciones indígenas, afromexicanas, miembros de </w:t>
            </w:r>
            <w:r w:rsidRPr="00C33CFE">
              <w:rPr>
                <w:rFonts w:ascii="Tahoma" w:eastAsia="Arial" w:hAnsi="Tahoma" w:cs="Tahoma"/>
                <w:b/>
                <w:bCs/>
                <w:color w:val="auto"/>
                <w:sz w:val="22"/>
                <w:szCs w:val="22"/>
              </w:rPr>
              <w:t xml:space="preserve">la comunidad de la diversidad sexual y de género </w:t>
            </w:r>
            <w:r w:rsidRPr="00C33CFE">
              <w:rPr>
                <w:rFonts w:ascii="Tahoma" w:hAnsi="Tahoma" w:cs="Tahoma"/>
                <w:b/>
                <w:bCs/>
                <w:color w:val="auto"/>
                <w:sz w:val="22"/>
                <w:szCs w:val="22"/>
              </w:rPr>
              <w:t>y jóvenes de entre 18 y 35 años;</w:t>
            </w:r>
          </w:p>
          <w:p w:rsidR="006D638F" w:rsidRPr="00C33CFE" w:rsidRDefault="006D638F" w:rsidP="00E2061F">
            <w:pPr>
              <w:pStyle w:val="Default"/>
              <w:ind w:left="1145"/>
              <w:rPr>
                <w:rFonts w:ascii="Tahoma" w:hAnsi="Tahoma" w:cs="Tahoma"/>
                <w:b/>
                <w:bCs/>
                <w:color w:val="auto"/>
                <w:sz w:val="22"/>
                <w:szCs w:val="22"/>
              </w:rPr>
            </w:pPr>
          </w:p>
        </w:tc>
      </w:tr>
      <w:tr w:rsidR="00C33CFE" w:rsidRPr="00C33CFE" w:rsidTr="00E2061F">
        <w:tc>
          <w:tcPr>
            <w:tcW w:w="2500" w:type="pct"/>
          </w:tcPr>
          <w:p w:rsidR="006D638F" w:rsidRPr="00C33CFE" w:rsidRDefault="006D638F" w:rsidP="00E2061F">
            <w:pPr>
              <w:pStyle w:val="Default"/>
              <w:jc w:val="center"/>
              <w:rPr>
                <w:rFonts w:ascii="Tahoma" w:hAnsi="Tahoma" w:cs="Tahoma"/>
                <w:b/>
                <w:bCs/>
                <w:color w:val="auto"/>
                <w:sz w:val="22"/>
                <w:szCs w:val="22"/>
              </w:rPr>
            </w:pPr>
          </w:p>
        </w:tc>
        <w:tc>
          <w:tcPr>
            <w:tcW w:w="2500" w:type="pct"/>
          </w:tcPr>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E2061F">
            <w:pPr>
              <w:pStyle w:val="Default"/>
              <w:jc w:val="center"/>
              <w:rPr>
                <w:rFonts w:ascii="Tahoma" w:hAnsi="Tahoma" w:cs="Tahoma"/>
                <w:b/>
                <w:bCs/>
                <w:color w:val="auto"/>
                <w:sz w:val="22"/>
                <w:szCs w:val="22"/>
              </w:rPr>
            </w:pPr>
            <w:r w:rsidRPr="00C33CFE">
              <w:rPr>
                <w:rFonts w:ascii="Tahoma" w:hAnsi="Tahoma" w:cs="Tahoma"/>
                <w:b/>
                <w:bCs/>
                <w:color w:val="auto"/>
                <w:sz w:val="22"/>
                <w:szCs w:val="22"/>
              </w:rPr>
              <w:t>CAPÍTULO V</w:t>
            </w:r>
          </w:p>
          <w:p w:rsidR="006D638F" w:rsidRPr="00C33CFE" w:rsidRDefault="006D638F" w:rsidP="00E2061F">
            <w:pPr>
              <w:tabs>
                <w:tab w:val="left" w:pos="2552"/>
              </w:tabs>
              <w:jc w:val="center"/>
              <w:rPr>
                <w:rFonts w:ascii="Tahoma" w:eastAsia="Arial" w:hAnsi="Tahoma" w:cs="Tahoma"/>
                <w:b/>
                <w:bCs/>
                <w:sz w:val="22"/>
                <w:szCs w:val="22"/>
              </w:rPr>
            </w:pPr>
            <w:r w:rsidRPr="00C33CFE">
              <w:rPr>
                <w:rFonts w:ascii="Tahoma" w:eastAsia="Arial" w:hAnsi="Tahoma" w:cs="Tahoma"/>
                <w:b/>
                <w:bCs/>
                <w:sz w:val="22"/>
                <w:szCs w:val="22"/>
              </w:rPr>
              <w:t>DE LA VIVIENDA EN ARRENDAMIENTO, DE LA VIVIENDA USADA Y DEL</w:t>
            </w:r>
          </w:p>
          <w:p w:rsidR="006D638F" w:rsidRPr="00C33CFE" w:rsidRDefault="006D638F" w:rsidP="00E2061F">
            <w:pPr>
              <w:tabs>
                <w:tab w:val="left" w:pos="2552"/>
              </w:tabs>
              <w:jc w:val="center"/>
              <w:rPr>
                <w:rFonts w:ascii="Tahoma" w:eastAsia="Arial" w:hAnsi="Tahoma" w:cs="Tahoma"/>
                <w:b/>
                <w:bCs/>
                <w:sz w:val="22"/>
                <w:szCs w:val="22"/>
              </w:rPr>
            </w:pPr>
            <w:r w:rsidRPr="00C33CFE">
              <w:rPr>
                <w:rFonts w:ascii="Tahoma" w:eastAsia="Arial" w:hAnsi="Tahoma" w:cs="Tahoma"/>
                <w:b/>
                <w:bCs/>
                <w:sz w:val="22"/>
                <w:szCs w:val="22"/>
              </w:rPr>
              <w:t>MEJORAMIENTO DE LA VIVIENDA</w:t>
            </w: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E2061F">
            <w:pPr>
              <w:tabs>
                <w:tab w:val="left" w:pos="2552"/>
              </w:tabs>
              <w:ind w:firstLine="0"/>
              <w:rPr>
                <w:rFonts w:ascii="Tahoma" w:eastAsia="Arial" w:hAnsi="Tahoma" w:cs="Tahoma"/>
                <w:bCs/>
                <w:sz w:val="22"/>
                <w:szCs w:val="22"/>
              </w:rPr>
            </w:pPr>
            <w:r w:rsidRPr="00C33CFE">
              <w:rPr>
                <w:rFonts w:ascii="Tahoma" w:eastAsia="Arial" w:hAnsi="Tahoma" w:cs="Tahoma"/>
                <w:b/>
                <w:sz w:val="22"/>
                <w:szCs w:val="22"/>
                <w:lang w:val="es-MX"/>
              </w:rPr>
              <w:t xml:space="preserve">Artículo 62 Bis. </w:t>
            </w:r>
            <w:r w:rsidRPr="00C33CFE">
              <w:rPr>
                <w:rFonts w:ascii="Tahoma" w:eastAsia="Arial" w:hAnsi="Tahoma" w:cs="Tahoma"/>
                <w:bCs/>
                <w:sz w:val="22"/>
                <w:szCs w:val="22"/>
              </w:rPr>
              <w:t>El Gobierno del Estado</w:t>
            </w:r>
            <w:r w:rsidR="00263747">
              <w:rPr>
                <w:rFonts w:ascii="Tahoma" w:eastAsia="Arial" w:hAnsi="Tahoma" w:cs="Tahoma"/>
                <w:bCs/>
                <w:sz w:val="22"/>
                <w:szCs w:val="22"/>
              </w:rPr>
              <w:t xml:space="preserve">, </w:t>
            </w:r>
            <w:r w:rsidRPr="00C33CFE">
              <w:rPr>
                <w:rFonts w:ascii="Tahoma" w:eastAsia="Arial" w:hAnsi="Tahoma" w:cs="Tahoma"/>
                <w:bCs/>
                <w:sz w:val="22"/>
                <w:szCs w:val="22"/>
              </w:rPr>
              <w:t xml:space="preserve">a través del </w:t>
            </w:r>
            <w:r w:rsidR="00263747">
              <w:rPr>
                <w:rFonts w:ascii="Tahoma" w:eastAsia="Arial" w:hAnsi="Tahoma" w:cs="Tahoma"/>
                <w:bCs/>
                <w:sz w:val="22"/>
                <w:szCs w:val="22"/>
              </w:rPr>
              <w:t>C</w:t>
            </w:r>
            <w:r w:rsidRPr="00C33CFE">
              <w:rPr>
                <w:rFonts w:ascii="Tahoma" w:eastAsia="Arial" w:hAnsi="Tahoma" w:cs="Tahoma"/>
                <w:bCs/>
                <w:sz w:val="22"/>
                <w:szCs w:val="22"/>
              </w:rPr>
              <w:t>onsejo Estatal y/o el instituto, deberá fomentar la vivienda en arrendamiento asequible, mediante esquemas y programas dirigidos a la población vulnerable, en situación de pobreza y de menores ingresos, que contengan como mínimo:</w:t>
            </w:r>
          </w:p>
          <w:p w:rsidR="006D638F" w:rsidRPr="00C33CFE" w:rsidRDefault="006D638F" w:rsidP="00E2061F">
            <w:pPr>
              <w:pStyle w:val="Default"/>
              <w:jc w:val="center"/>
              <w:rPr>
                <w:rFonts w:ascii="Tahoma" w:hAnsi="Tahoma" w:cs="Tahoma"/>
                <w:b/>
                <w:bCs/>
                <w:color w:val="auto"/>
                <w:sz w:val="22"/>
                <w:szCs w:val="22"/>
              </w:rPr>
            </w:pPr>
          </w:p>
          <w:p w:rsidR="006D638F" w:rsidRPr="00C33CFE" w:rsidRDefault="006D638F" w:rsidP="006D638F">
            <w:pPr>
              <w:pStyle w:val="Prrafodelista"/>
              <w:numPr>
                <w:ilvl w:val="0"/>
                <w:numId w:val="13"/>
              </w:numPr>
              <w:autoSpaceDE w:val="0"/>
              <w:autoSpaceDN w:val="0"/>
              <w:adjustRightInd w:val="0"/>
              <w:rPr>
                <w:rFonts w:ascii="Tahoma" w:hAnsi="Tahoma" w:cs="Tahoma"/>
                <w:kern w:val="0"/>
                <w:sz w:val="22"/>
                <w:szCs w:val="22"/>
                <w:lang w:val="es-MX"/>
              </w:rPr>
            </w:pPr>
            <w:r w:rsidRPr="00C33CFE">
              <w:rPr>
                <w:rFonts w:ascii="Tahoma" w:hAnsi="Tahoma" w:cs="Tahoma"/>
                <w:kern w:val="0"/>
                <w:sz w:val="22"/>
                <w:szCs w:val="22"/>
                <w:lang w:val="es-MX"/>
              </w:rPr>
              <w:t>Ámbito de Aplicación;</w:t>
            </w:r>
          </w:p>
          <w:p w:rsidR="006D638F" w:rsidRPr="00C33CFE" w:rsidRDefault="006D638F" w:rsidP="006D638F">
            <w:pPr>
              <w:pStyle w:val="Prrafodelista"/>
              <w:numPr>
                <w:ilvl w:val="0"/>
                <w:numId w:val="13"/>
              </w:numPr>
              <w:autoSpaceDE w:val="0"/>
              <w:autoSpaceDN w:val="0"/>
              <w:adjustRightInd w:val="0"/>
              <w:rPr>
                <w:rFonts w:ascii="Tahoma" w:hAnsi="Tahoma" w:cs="Tahoma"/>
                <w:kern w:val="0"/>
                <w:sz w:val="22"/>
                <w:szCs w:val="22"/>
                <w:lang w:val="es-MX"/>
              </w:rPr>
            </w:pPr>
            <w:r w:rsidRPr="00C33CFE">
              <w:rPr>
                <w:rFonts w:ascii="Tahoma" w:hAnsi="Tahoma" w:cs="Tahoma"/>
                <w:kern w:val="0"/>
                <w:sz w:val="22"/>
                <w:szCs w:val="22"/>
                <w:lang w:val="es-MX"/>
              </w:rPr>
              <w:t>Lineamientos de Diseño;</w:t>
            </w:r>
          </w:p>
          <w:p w:rsidR="006D638F" w:rsidRPr="00C33CFE" w:rsidRDefault="006D638F" w:rsidP="006D638F">
            <w:pPr>
              <w:pStyle w:val="Prrafodelista"/>
              <w:numPr>
                <w:ilvl w:val="0"/>
                <w:numId w:val="13"/>
              </w:numPr>
              <w:autoSpaceDE w:val="0"/>
              <w:autoSpaceDN w:val="0"/>
              <w:adjustRightInd w:val="0"/>
              <w:rPr>
                <w:rFonts w:ascii="Tahoma" w:hAnsi="Tahoma" w:cs="Tahoma"/>
                <w:kern w:val="0"/>
                <w:sz w:val="22"/>
                <w:szCs w:val="22"/>
                <w:lang w:val="es-MX"/>
              </w:rPr>
            </w:pPr>
            <w:r w:rsidRPr="00C33CFE">
              <w:rPr>
                <w:rFonts w:ascii="Tahoma" w:hAnsi="Tahoma" w:cs="Tahoma"/>
                <w:kern w:val="0"/>
                <w:sz w:val="22"/>
                <w:szCs w:val="22"/>
                <w:lang w:val="es-MX"/>
              </w:rPr>
              <w:t>Estímulos e Incentivos;</w:t>
            </w:r>
          </w:p>
          <w:p w:rsidR="006D638F" w:rsidRPr="00C33CFE" w:rsidRDefault="006D638F" w:rsidP="006D638F">
            <w:pPr>
              <w:pStyle w:val="Prrafodelista"/>
              <w:numPr>
                <w:ilvl w:val="0"/>
                <w:numId w:val="13"/>
              </w:numPr>
              <w:autoSpaceDE w:val="0"/>
              <w:autoSpaceDN w:val="0"/>
              <w:adjustRightInd w:val="0"/>
              <w:rPr>
                <w:rFonts w:ascii="Tahoma" w:hAnsi="Tahoma" w:cs="Tahoma"/>
                <w:kern w:val="0"/>
                <w:sz w:val="22"/>
                <w:szCs w:val="22"/>
                <w:lang w:val="es-MX"/>
              </w:rPr>
            </w:pPr>
            <w:r w:rsidRPr="00C33CFE">
              <w:rPr>
                <w:rFonts w:ascii="Tahoma" w:hAnsi="Tahoma" w:cs="Tahoma"/>
                <w:kern w:val="0"/>
                <w:sz w:val="22"/>
                <w:szCs w:val="22"/>
                <w:lang w:val="es-MX"/>
              </w:rPr>
              <w:t>Procedimientos de seguimiento, control y evaluación; y</w:t>
            </w:r>
          </w:p>
          <w:p w:rsidR="006D638F" w:rsidRPr="00C33CFE" w:rsidRDefault="006D638F" w:rsidP="006D638F">
            <w:pPr>
              <w:pStyle w:val="Prrafodelista"/>
              <w:numPr>
                <w:ilvl w:val="0"/>
                <w:numId w:val="13"/>
              </w:numPr>
              <w:autoSpaceDE w:val="0"/>
              <w:autoSpaceDN w:val="0"/>
              <w:adjustRightInd w:val="0"/>
              <w:rPr>
                <w:rFonts w:ascii="Tahoma" w:hAnsi="Tahoma" w:cs="Tahoma"/>
                <w:b/>
                <w:bCs/>
                <w:sz w:val="22"/>
                <w:szCs w:val="22"/>
              </w:rPr>
            </w:pPr>
            <w:r w:rsidRPr="00C33CFE">
              <w:rPr>
                <w:rFonts w:ascii="Tahoma" w:hAnsi="Tahoma" w:cs="Tahoma"/>
                <w:kern w:val="0"/>
                <w:sz w:val="22"/>
                <w:szCs w:val="22"/>
                <w:lang w:val="es-MX"/>
              </w:rPr>
              <w:t>Esquemas que garanticen la certeza jurídica de la ocupación del inmueble por parte de las y los beneficiarios.</w:t>
            </w:r>
          </w:p>
          <w:p w:rsidR="006D638F" w:rsidRPr="00C33CFE" w:rsidRDefault="006D638F" w:rsidP="00E2061F">
            <w:pPr>
              <w:pStyle w:val="Prrafodelista"/>
              <w:autoSpaceDE w:val="0"/>
              <w:autoSpaceDN w:val="0"/>
              <w:adjustRightInd w:val="0"/>
              <w:ind w:firstLine="0"/>
              <w:rPr>
                <w:rFonts w:ascii="Tahoma" w:hAnsi="Tahoma" w:cs="Tahoma"/>
                <w:b/>
                <w:bCs/>
                <w:sz w:val="22"/>
                <w:szCs w:val="22"/>
              </w:rPr>
            </w:pPr>
          </w:p>
        </w:tc>
      </w:tr>
      <w:tr w:rsidR="00C33CFE" w:rsidRPr="00C33CFE" w:rsidTr="00E2061F">
        <w:tc>
          <w:tcPr>
            <w:tcW w:w="2500" w:type="pct"/>
          </w:tcPr>
          <w:p w:rsidR="006D638F" w:rsidRPr="00C33CFE" w:rsidRDefault="006D638F" w:rsidP="00E2061F">
            <w:pPr>
              <w:pStyle w:val="Default"/>
              <w:jc w:val="center"/>
              <w:rPr>
                <w:rFonts w:ascii="Tahoma" w:hAnsi="Tahoma" w:cs="Tahoma"/>
                <w:b/>
                <w:bCs/>
                <w:color w:val="auto"/>
                <w:sz w:val="22"/>
                <w:szCs w:val="22"/>
              </w:rPr>
            </w:pPr>
          </w:p>
        </w:tc>
        <w:tc>
          <w:tcPr>
            <w:tcW w:w="2500" w:type="pct"/>
          </w:tcPr>
          <w:p w:rsidR="006D638F" w:rsidRPr="00C33CFE" w:rsidRDefault="006D638F" w:rsidP="00E2061F">
            <w:pPr>
              <w:tabs>
                <w:tab w:val="left" w:pos="2552"/>
              </w:tabs>
              <w:ind w:firstLine="0"/>
              <w:rPr>
                <w:rFonts w:ascii="Tahoma" w:eastAsia="Arial" w:hAnsi="Tahoma" w:cs="Tahoma"/>
                <w:b/>
                <w:sz w:val="22"/>
                <w:szCs w:val="22"/>
                <w:lang w:val="es-MX"/>
              </w:rPr>
            </w:pPr>
          </w:p>
          <w:p w:rsidR="006D638F" w:rsidRPr="00C33CFE" w:rsidRDefault="006D638F" w:rsidP="00E2061F">
            <w:pPr>
              <w:tabs>
                <w:tab w:val="left" w:pos="2552"/>
              </w:tabs>
              <w:ind w:firstLine="0"/>
              <w:rPr>
                <w:rFonts w:ascii="Tahoma" w:hAnsi="Tahoma" w:cs="Tahoma"/>
                <w:i/>
                <w:iCs/>
                <w:sz w:val="22"/>
                <w:szCs w:val="22"/>
              </w:rPr>
            </w:pPr>
            <w:r w:rsidRPr="00C33CFE">
              <w:rPr>
                <w:rFonts w:ascii="Tahoma" w:eastAsia="Arial" w:hAnsi="Tahoma" w:cs="Tahoma"/>
                <w:b/>
                <w:sz w:val="22"/>
                <w:szCs w:val="22"/>
                <w:lang w:val="es-MX"/>
              </w:rPr>
              <w:t xml:space="preserve">Artículo 62 Ter. </w:t>
            </w:r>
            <w:r w:rsidRPr="00C33CFE">
              <w:rPr>
                <w:rFonts w:ascii="Tahoma" w:eastAsia="Arial" w:hAnsi="Tahoma" w:cs="Tahoma"/>
                <w:bCs/>
                <w:sz w:val="22"/>
                <w:szCs w:val="22"/>
              </w:rPr>
              <w:t>El Gobierno del Estado, a través del instituto, promoverá la producción pública de vivienda en arrendamiento asequible para las personas de menores ingresos, además de proponer a la Secretaría de Finanzas facilidades administrativas y/o fiscales para apoyar la construcción de este tipo de vivienda conforme a los Programas Institucionales que al respecto se establezcan.</w:t>
            </w:r>
            <w:r w:rsidRPr="00C33CFE">
              <w:rPr>
                <w:rFonts w:ascii="Tahoma" w:hAnsi="Tahoma" w:cs="Tahoma"/>
                <w:i/>
                <w:iCs/>
                <w:sz w:val="22"/>
                <w:szCs w:val="22"/>
              </w:rPr>
              <w:t xml:space="preserve"> </w:t>
            </w:r>
          </w:p>
          <w:p w:rsidR="006D638F" w:rsidRPr="00C33CFE" w:rsidRDefault="006D638F" w:rsidP="00E2061F">
            <w:pPr>
              <w:pStyle w:val="Default"/>
              <w:jc w:val="center"/>
              <w:rPr>
                <w:rFonts w:ascii="Tahoma" w:hAnsi="Tahoma" w:cs="Tahoma"/>
                <w:b/>
                <w:bCs/>
                <w:color w:val="auto"/>
                <w:sz w:val="22"/>
                <w:szCs w:val="22"/>
              </w:rPr>
            </w:pPr>
          </w:p>
        </w:tc>
      </w:tr>
    </w:tbl>
    <w:p w:rsidR="001C69DE" w:rsidRDefault="001C69DE" w:rsidP="006D638F">
      <w:pPr>
        <w:ind w:firstLine="0"/>
        <w:rPr>
          <w:rFonts w:ascii="Tahoma" w:hAnsi="Tahoma" w:cs="Tahoma"/>
          <w:lang w:val="es-ES"/>
        </w:rPr>
      </w:pPr>
    </w:p>
    <w:p w:rsidR="006D638F" w:rsidRDefault="006D638F" w:rsidP="006D638F">
      <w:pPr>
        <w:ind w:firstLine="0"/>
        <w:rPr>
          <w:rFonts w:ascii="Tahoma" w:hAnsi="Tahoma" w:cs="Tahoma"/>
          <w:lang w:val="es-ES"/>
        </w:rPr>
      </w:pPr>
      <w:r w:rsidRPr="00C33CFE">
        <w:rPr>
          <w:rFonts w:ascii="Tahoma" w:hAnsi="Tahoma" w:cs="Tahoma"/>
          <w:lang w:val="es-ES"/>
        </w:rPr>
        <w:t>Es importante destacar que la protección de los derechos de los arrendatarios constituye un pilar fundamental para el desarrollo sostenible y equitativo de la sociedad. La vivienda, reconocida como un derecho humano esencial, debe garantizarse bajo condiciones justas y accesibles, evitando que las familias sean víctimas de incrementos arbitrarios en los precios del alquiler. Asimismo, la falta de una regulación clara propicia un ambiente de incertidumbre y vulnerabilidad, en el que los inquilinos pueden ser objeto de desalojos injustificados o renegociaciones desventajosas.</w:t>
      </w:r>
    </w:p>
    <w:p w:rsidR="005658CA" w:rsidRPr="00C33CFE" w:rsidRDefault="005658CA" w:rsidP="006D638F">
      <w:pPr>
        <w:ind w:firstLine="0"/>
        <w:rPr>
          <w:rFonts w:ascii="Tahoma" w:hAnsi="Tahoma" w:cs="Tahoma"/>
          <w:kern w:val="0"/>
          <w:lang w:val="es-ES"/>
          <w14:ligatures w14:val="none"/>
        </w:rPr>
      </w:pPr>
    </w:p>
    <w:p w:rsidR="006D638F" w:rsidRDefault="006D638F" w:rsidP="004B76A9">
      <w:pPr>
        <w:ind w:firstLine="0"/>
        <w:rPr>
          <w:rFonts w:ascii="Tahoma" w:hAnsi="Tahoma" w:cs="Tahoma"/>
          <w:lang w:val="es-ES"/>
        </w:rPr>
      </w:pPr>
      <w:r w:rsidRPr="00C33CFE">
        <w:rPr>
          <w:rFonts w:ascii="Tahoma" w:hAnsi="Tahoma" w:cs="Tahoma"/>
          <w:lang w:val="es-ES"/>
        </w:rPr>
        <w:t xml:space="preserve">Por otro lado, la experiencia internacional demuestra que los mercados de alquiler con normativas eficaces sobre los aumentos de renta logran mayor estabilidad y confianza, tanto para arrendatarios como para propietarios. Países europeos como España, Alemania o Francia han implementado límites a los incrementos anuales, lo que ha contribuido a la cohesión social y a la prevención de crisis habitacionales. Adoptar una regulación similar en </w:t>
      </w:r>
      <w:r w:rsidR="009553C9">
        <w:rPr>
          <w:rFonts w:ascii="Tahoma" w:hAnsi="Tahoma" w:cs="Tahoma"/>
          <w:lang w:val="es-ES"/>
        </w:rPr>
        <w:t>Yucatán</w:t>
      </w:r>
      <w:r w:rsidRPr="00C33CFE">
        <w:rPr>
          <w:rFonts w:ascii="Tahoma" w:hAnsi="Tahoma" w:cs="Tahoma"/>
          <w:lang w:val="es-ES"/>
        </w:rPr>
        <w:t xml:space="preserve"> permitiría no solo proteger a los sectores más vulnerables, sino también fomentar un entorno inmobiliario más transparente y competitivo.</w:t>
      </w:r>
    </w:p>
    <w:p w:rsidR="005658CA" w:rsidRPr="00C33CFE" w:rsidRDefault="005658CA" w:rsidP="004B76A9">
      <w:pPr>
        <w:ind w:firstLine="0"/>
        <w:rPr>
          <w:rFonts w:ascii="Tahoma" w:hAnsi="Tahoma" w:cs="Tahoma"/>
          <w:lang w:val="es-ES"/>
        </w:rPr>
      </w:pPr>
    </w:p>
    <w:p w:rsidR="006D638F" w:rsidRDefault="004B76A9" w:rsidP="004B76A9">
      <w:pPr>
        <w:ind w:firstLine="0"/>
        <w:rPr>
          <w:rFonts w:ascii="Tahoma" w:hAnsi="Tahoma" w:cs="Tahoma"/>
          <w:lang w:val="es-ES"/>
        </w:rPr>
      </w:pPr>
      <w:r>
        <w:rPr>
          <w:rFonts w:ascii="Tahoma" w:hAnsi="Tahoma" w:cs="Tahoma"/>
          <w:lang w:val="es-ES"/>
        </w:rPr>
        <w:t>L</w:t>
      </w:r>
      <w:r w:rsidR="006D638F" w:rsidRPr="00C33CFE">
        <w:rPr>
          <w:rFonts w:ascii="Tahoma" w:hAnsi="Tahoma" w:cs="Tahoma"/>
          <w:lang w:val="es-ES"/>
        </w:rPr>
        <w:t xml:space="preserve">a implementación de mecanismos de vigilancia y transparencia no solo beneficia a los arrendatarios, sino que también promueve buenas prácticas entre los propietarios y agentes inmobiliarios, generando un mercado de alquiler más profesionalizado. La reforma propuesta responde a la necesidad de equilibrar los intereses de ambas partes, asegurando que el acceso a la vivienda en renta no se convierta en un privilegio inaccesible, sino en un derecho asequible para todos los ciudadanos de </w:t>
      </w:r>
      <w:r w:rsidR="009553C9">
        <w:rPr>
          <w:rFonts w:ascii="Tahoma" w:hAnsi="Tahoma" w:cs="Tahoma"/>
          <w:lang w:val="es-ES"/>
        </w:rPr>
        <w:t>Yucatán</w:t>
      </w:r>
      <w:r w:rsidR="006D638F" w:rsidRPr="00C33CFE">
        <w:rPr>
          <w:rFonts w:ascii="Tahoma" w:hAnsi="Tahoma" w:cs="Tahoma"/>
          <w:lang w:val="es-ES"/>
        </w:rPr>
        <w:t xml:space="preserve">. </w:t>
      </w:r>
    </w:p>
    <w:p w:rsidR="005658CA" w:rsidRPr="00C33CFE" w:rsidRDefault="005658CA" w:rsidP="004B76A9">
      <w:pPr>
        <w:ind w:firstLine="0"/>
        <w:rPr>
          <w:rFonts w:ascii="Tahoma" w:hAnsi="Tahoma" w:cs="Tahoma"/>
          <w:lang w:val="es-ES"/>
        </w:rPr>
      </w:pPr>
    </w:p>
    <w:p w:rsidR="006D638F" w:rsidRDefault="006D638F" w:rsidP="004B76A9">
      <w:pPr>
        <w:ind w:firstLine="0"/>
        <w:rPr>
          <w:rFonts w:ascii="Tahoma" w:hAnsi="Tahoma" w:cs="Tahoma"/>
          <w:lang w:val="es-ES"/>
        </w:rPr>
      </w:pPr>
      <w:r w:rsidRPr="00C33CFE">
        <w:rPr>
          <w:rFonts w:ascii="Tahoma" w:hAnsi="Tahoma" w:cs="Tahoma"/>
          <w:lang w:val="es-ES"/>
        </w:rPr>
        <w:t>La reforma al Código Civil y a la Ley de vivienda del Estado de Yucatán constituye una propuesta orientada a regular los aumentos de renta y a instaurar mecanismos de vigilancia efectivos, con el objetivo de promover un mercado de alquiler más equitativo y garantizar el acceso a la vivienda como derecho fundamental. La iniciativa no solo busca establecer límites razonables a los incrementos anuales de las rentas, sino también contribuir a la cohesión social y la resiliencia de las comunidades, sentando las bases para un desarrollo urbano en el que la vivienda sea sinónimo de bienestar y no de inseguridad o exclusión social.</w:t>
      </w:r>
    </w:p>
    <w:p w:rsidR="005658CA" w:rsidRPr="00C33CFE" w:rsidRDefault="005658CA" w:rsidP="004B76A9">
      <w:pPr>
        <w:ind w:firstLine="0"/>
        <w:rPr>
          <w:rFonts w:ascii="Tahoma" w:hAnsi="Tahoma" w:cs="Tahoma"/>
          <w:kern w:val="0"/>
          <w:lang w:val="es-ES"/>
          <w14:ligatures w14:val="none"/>
        </w:rPr>
      </w:pPr>
    </w:p>
    <w:p w:rsidR="006D638F" w:rsidRPr="00C33CFE" w:rsidRDefault="006D638F" w:rsidP="006D638F">
      <w:pPr>
        <w:ind w:firstLine="0"/>
        <w:rPr>
          <w:rFonts w:ascii="Tahoma" w:hAnsi="Tahoma" w:cs="Tahoma"/>
          <w:lang w:val="es-ES"/>
        </w:rPr>
      </w:pPr>
      <w:r w:rsidRPr="00C33CFE">
        <w:rPr>
          <w:rFonts w:ascii="Tahoma" w:hAnsi="Tahoma" w:cs="Tahoma"/>
          <w:lang w:val="es-ES"/>
        </w:rPr>
        <w:t>El impacto de la reforma se percibe especialmente en los sectores más vulnerables de la población, como las familias de bajos ingresos, jóvenes que desean independizarse, madres solteras y personas en situación de pobreza. Para estos grupos, los límites a los aumentos de renta representan una herramienta fundamental para evitar que el coste del alquiler consuma una parte desproporcionada de sus ingresos, permitiéndoles destinar recursos a otras necesidades básicas. Por ejemplo, en ciudades europeas como Berlín y París, la imposición de topes a los incrementos de renta ha favorecido la estabilidad residencial y ha facilitado el acceso de jóvenes y familias a viviendas dignas, reduciendo el riesgo de desplazamiento y exclusión social. En España, la Ley de Arrendamientos Urbanos ha contribuido a moderar las subidas de alquiler, beneficiando especialmente a quienes enfrentan mayores dificultades económicas.</w:t>
      </w:r>
    </w:p>
    <w:p w:rsidR="005658CA" w:rsidRDefault="006D638F" w:rsidP="006D638F">
      <w:pPr>
        <w:ind w:firstLine="0"/>
        <w:rPr>
          <w:rFonts w:ascii="Tahoma" w:hAnsi="Tahoma" w:cs="Tahoma"/>
          <w:lang w:val="es-ES"/>
        </w:rPr>
      </w:pPr>
      <w:r w:rsidRPr="00C33CFE">
        <w:rPr>
          <w:rFonts w:ascii="Tahoma" w:hAnsi="Tahoma" w:cs="Tahoma"/>
          <w:lang w:val="es-ES"/>
        </w:rPr>
        <w:t xml:space="preserve">El éxito de la reforma requiere una colaboración activa entre autoridades locales, propietarios y arrendatarios. </w:t>
      </w:r>
    </w:p>
    <w:p w:rsidR="005658CA" w:rsidRDefault="005658CA" w:rsidP="006D638F">
      <w:pPr>
        <w:ind w:firstLine="0"/>
        <w:rPr>
          <w:rFonts w:ascii="Tahoma" w:hAnsi="Tahoma" w:cs="Tahoma"/>
          <w:lang w:val="es-ES"/>
        </w:rPr>
      </w:pPr>
    </w:p>
    <w:p w:rsidR="006D638F" w:rsidRDefault="006D638F" w:rsidP="006D638F">
      <w:pPr>
        <w:ind w:firstLine="0"/>
        <w:rPr>
          <w:rFonts w:ascii="Tahoma" w:hAnsi="Tahoma" w:cs="Tahoma"/>
          <w:lang w:val="es-ES"/>
        </w:rPr>
      </w:pPr>
      <w:r w:rsidRPr="00C33CFE">
        <w:rPr>
          <w:rFonts w:ascii="Tahoma" w:hAnsi="Tahoma" w:cs="Tahoma"/>
          <w:lang w:val="es-ES"/>
        </w:rPr>
        <w:t xml:space="preserve">Las instituciones públicas deben velar por la aplicación efectiva de la regulación, mientras que los propietarios y arrendatarios tienen la responsabilidad de actuar con transparencia y respeto a los derechos mutuos. La participación comprometida de todos estos actores es esencial para maximizar los beneficios sociales y construir un entorno de alquiler justo y sostenible, donde la vivienda sea accesible y segura para todos los habitantes de </w:t>
      </w:r>
      <w:r w:rsidR="005658CA">
        <w:rPr>
          <w:rFonts w:ascii="Tahoma" w:hAnsi="Tahoma" w:cs="Tahoma"/>
          <w:lang w:val="es-ES"/>
        </w:rPr>
        <w:t>Yucatán</w:t>
      </w:r>
      <w:r w:rsidRPr="00C33CFE">
        <w:rPr>
          <w:rFonts w:ascii="Tahoma" w:hAnsi="Tahoma" w:cs="Tahoma"/>
          <w:lang w:val="es-ES"/>
        </w:rPr>
        <w:t>.</w:t>
      </w:r>
    </w:p>
    <w:p w:rsidR="005658CA" w:rsidRPr="00C33CFE" w:rsidRDefault="005658CA" w:rsidP="006D638F">
      <w:pPr>
        <w:ind w:firstLine="0"/>
        <w:rPr>
          <w:rFonts w:ascii="Tahoma" w:hAnsi="Tahoma" w:cs="Tahoma"/>
          <w:lang w:val="es-ES"/>
        </w:rPr>
      </w:pPr>
    </w:p>
    <w:p w:rsidR="006D638F" w:rsidRDefault="006D638F" w:rsidP="006D638F">
      <w:pPr>
        <w:ind w:firstLine="0"/>
        <w:rPr>
          <w:rFonts w:ascii="Tahoma" w:hAnsi="Tahoma" w:cs="Tahoma"/>
        </w:rPr>
      </w:pPr>
      <w:r w:rsidRPr="00C33CFE">
        <w:rPr>
          <w:rFonts w:ascii="Tahoma" w:hAnsi="Tahoma" w:cs="Tahoma"/>
        </w:rPr>
        <w:t>La experiencia comparada demuestra que los mercados de alquiler regulados mediante normativas eficaces sobre los aumentos de renta logran mayor estabilidad y confianza, tanto para arrendatarios como para propietarios. Países europeos como España, Alemania y Francia han implementado límites a los incrementos anuales de las rentas, lo que ha contribuido a prevenir crisis habitacionales y a fortalecer la cohesión social. Estos ejemplos evidencian que la regulación no solo protege a los inquilinos, sino que también genera un entorno inmobiliario más transparente y competitivo.</w:t>
      </w:r>
    </w:p>
    <w:p w:rsidR="005658CA" w:rsidRPr="00C33CFE" w:rsidRDefault="005658CA" w:rsidP="006D638F">
      <w:pPr>
        <w:ind w:firstLine="0"/>
        <w:rPr>
          <w:rFonts w:ascii="Tahoma" w:hAnsi="Tahoma" w:cs="Tahoma"/>
        </w:rPr>
      </w:pPr>
    </w:p>
    <w:p w:rsidR="006D638F" w:rsidRDefault="006D638F" w:rsidP="006D638F">
      <w:pPr>
        <w:ind w:firstLine="0"/>
        <w:rPr>
          <w:rFonts w:ascii="Tahoma" w:hAnsi="Tahoma" w:cs="Tahoma"/>
        </w:rPr>
      </w:pPr>
      <w:r w:rsidRPr="00C33CFE">
        <w:rPr>
          <w:rFonts w:ascii="Tahoma" w:hAnsi="Tahoma" w:cs="Tahoma"/>
        </w:rPr>
        <w:t>Adoptar una regulación similar a la de la ciudad de México y Baja California permitiría equilibrar los intereses de las partes, proteger a los sectores más vulnerables y consolidar un mercado de alquiler más profesionalizado, en el que la vivienda sea concebida como un derecho y no como un privilegio inaccesible.</w:t>
      </w:r>
    </w:p>
    <w:p w:rsidR="005658CA" w:rsidRPr="00C33CFE" w:rsidRDefault="005658CA" w:rsidP="006D638F">
      <w:pPr>
        <w:ind w:firstLine="0"/>
        <w:rPr>
          <w:rFonts w:ascii="Tahoma" w:hAnsi="Tahoma" w:cs="Tahoma"/>
        </w:rPr>
      </w:pPr>
    </w:p>
    <w:p w:rsidR="005658CA" w:rsidRDefault="00B754AE" w:rsidP="004B76A9">
      <w:pPr>
        <w:ind w:firstLine="0"/>
        <w:rPr>
          <w:rFonts w:ascii="Tahoma" w:hAnsi="Tahoma" w:cs="Tahoma"/>
        </w:rPr>
      </w:pPr>
      <w:r w:rsidRPr="00C33CFE">
        <w:rPr>
          <w:rFonts w:ascii="Tahoma" w:hAnsi="Tahoma" w:cs="Tahoma"/>
        </w:rPr>
        <w:t xml:space="preserve">El incremento sostenido en los precios de las rentas, frecuentemente sin justificación vinculada a los ingresos de los arrendatarios, ha generado una presión económica adicional sobre sectores vulnerables. Dicho efecto se intensifica ante un entorno inflacionario, donde el aumento de precios de bienes esenciales impacta directamente a las familias en </w:t>
      </w:r>
      <w:r w:rsidR="005658CA">
        <w:rPr>
          <w:rFonts w:ascii="Tahoma" w:hAnsi="Tahoma" w:cs="Tahoma"/>
        </w:rPr>
        <w:t>el Estado.</w:t>
      </w:r>
    </w:p>
    <w:p w:rsidR="005658CA" w:rsidRPr="00C33CFE" w:rsidRDefault="005658CA" w:rsidP="004B76A9">
      <w:pPr>
        <w:ind w:firstLine="0"/>
        <w:rPr>
          <w:rFonts w:ascii="Tahoma" w:hAnsi="Tahoma" w:cs="Tahoma"/>
        </w:rPr>
      </w:pPr>
    </w:p>
    <w:p w:rsidR="00B754AE" w:rsidRDefault="00B754AE" w:rsidP="004B76A9">
      <w:pPr>
        <w:ind w:firstLine="0"/>
        <w:rPr>
          <w:rFonts w:ascii="Tahoma" w:hAnsi="Tahoma" w:cs="Tahoma"/>
        </w:rPr>
      </w:pPr>
      <w:r w:rsidRPr="00C33CFE">
        <w:rPr>
          <w:rFonts w:ascii="Tahoma" w:hAnsi="Tahoma" w:cs="Tahoma"/>
        </w:rPr>
        <w:t>En muchos casos, los incrementos en las rentas superan ampliamente el ajuste del salario mínimo, limitando la capacidad de las familias para conservar su residencia. Este fenómeno afecta tanto a los inquilinos como a la estructura social y económica, incrementando la desigualdad.</w:t>
      </w:r>
    </w:p>
    <w:p w:rsidR="005658CA" w:rsidRPr="00C33CFE" w:rsidRDefault="005658CA" w:rsidP="004B76A9">
      <w:pPr>
        <w:ind w:firstLine="0"/>
        <w:rPr>
          <w:rFonts w:ascii="Tahoma" w:hAnsi="Tahoma" w:cs="Tahoma"/>
        </w:rPr>
      </w:pPr>
    </w:p>
    <w:p w:rsidR="00DE48B5" w:rsidRDefault="00DE48B5" w:rsidP="00DE48B5">
      <w:pPr>
        <w:ind w:firstLine="0"/>
        <w:rPr>
          <w:rFonts w:ascii="Tahoma" w:hAnsi="Tahoma" w:cs="Tahoma"/>
        </w:rPr>
      </w:pPr>
      <w:r w:rsidRPr="00C33CFE">
        <w:rPr>
          <w:rFonts w:ascii="Tahoma" w:hAnsi="Tahoma" w:cs="Tahoma"/>
        </w:rPr>
        <w:t>Los incrementos desmedidos en las rentas afectan principalmente a los sectores más vulnerables de la población, tales como trabajadores de bajos ingresos, madres solteras, jóvenes entre 18 y 35 años y personas en situación de pobreza. Estos grupos, que ya enfrentan dificultades económicas, ven cómo el aumento de la renta puede consumir una porción cada vez mayor de su ingreso mensual, dejándolos con menos recursos para cubrir otras necesidades básicas, como alimentación, salud y educación.</w:t>
      </w:r>
    </w:p>
    <w:p w:rsidR="002321F3" w:rsidRPr="00C33CFE" w:rsidRDefault="002321F3" w:rsidP="00DE48B5">
      <w:pPr>
        <w:ind w:firstLine="0"/>
        <w:rPr>
          <w:rFonts w:ascii="Tahoma" w:hAnsi="Tahoma" w:cs="Tahoma"/>
        </w:rPr>
      </w:pPr>
    </w:p>
    <w:p w:rsidR="00DE48B5" w:rsidRDefault="00DE48B5" w:rsidP="00DE48B5">
      <w:pPr>
        <w:ind w:firstLine="0"/>
        <w:rPr>
          <w:rFonts w:ascii="Tahoma" w:hAnsi="Tahoma" w:cs="Tahoma"/>
        </w:rPr>
      </w:pPr>
      <w:r w:rsidRPr="00C33CFE">
        <w:rPr>
          <w:rFonts w:ascii="Tahoma" w:hAnsi="Tahoma" w:cs="Tahoma"/>
        </w:rPr>
        <w:t>La falta de regulación en los aumentos de las rentas, combinada con el aumento en los precios de bienes y servicios, crea una carga económica insostenible para muchos inquilinos, generando además una mayor desigualdad en la distribución de la riqueza. En el caso de los jóvenes, este fenómeno puede representar un obstáculo para acceder a su primera vivienda, lo que a su vez impacta en su desarrollo económico y social.</w:t>
      </w:r>
    </w:p>
    <w:p w:rsidR="002321F3" w:rsidRPr="00C33CFE" w:rsidRDefault="002321F3" w:rsidP="00DE48B5">
      <w:pPr>
        <w:ind w:firstLine="0"/>
        <w:rPr>
          <w:rFonts w:ascii="Tahoma" w:hAnsi="Tahoma" w:cs="Tahoma"/>
        </w:rPr>
      </w:pPr>
    </w:p>
    <w:p w:rsidR="00DE48B5" w:rsidRDefault="00DE48B5" w:rsidP="00DE48B5">
      <w:pPr>
        <w:ind w:firstLine="0"/>
        <w:rPr>
          <w:rFonts w:ascii="Tahoma" w:hAnsi="Tahoma" w:cs="Tahoma"/>
        </w:rPr>
      </w:pPr>
      <w:r w:rsidRPr="00C33CFE">
        <w:rPr>
          <w:rFonts w:ascii="Tahoma" w:hAnsi="Tahoma" w:cs="Tahoma"/>
        </w:rPr>
        <w:t>La reforma propuesta establece que los aumentos anuales de renta no podrán exceder el porcentaje de inflación registrado por el Banco de México en el año anterior. Este límite busca garantizar que los arrendatarios no enfrenten incrementos desmesurados que superen la capacidad adquisitiva de los mismos, asegurando que el costo de la vivienda se ajuste de manera más justa y proporcional a la realidad económica de los inquilinos.</w:t>
      </w:r>
    </w:p>
    <w:p w:rsidR="002321F3" w:rsidRPr="00C33CFE" w:rsidRDefault="002321F3" w:rsidP="00DE48B5">
      <w:pPr>
        <w:ind w:firstLine="0"/>
        <w:rPr>
          <w:rFonts w:ascii="Tahoma" w:hAnsi="Tahoma" w:cs="Tahoma"/>
        </w:rPr>
      </w:pPr>
    </w:p>
    <w:p w:rsidR="00DE48B5" w:rsidRDefault="00DE48B5" w:rsidP="00DE48B5">
      <w:pPr>
        <w:ind w:firstLine="0"/>
        <w:rPr>
          <w:rFonts w:ascii="Tahoma" w:hAnsi="Tahoma" w:cs="Tahoma"/>
        </w:rPr>
      </w:pPr>
      <w:r w:rsidRPr="00C33CFE">
        <w:rPr>
          <w:rFonts w:ascii="Tahoma" w:hAnsi="Tahoma" w:cs="Tahoma"/>
        </w:rPr>
        <w:t>De acuerdo con esta propuesta, los arrendadores deberán calcular los aumentos en base a la inflación oficial, lo que proporcionará mayor transparencia y previsibilidad para los arrendatarios. Esta medida no solo regula los incrementos en las rentas, sino que también fomenta un mercado de arrendamientos más justo y equilibrado, reduciendo la especulación inmobiliaria que afecta a los arrendatarios más vulnerables.</w:t>
      </w:r>
    </w:p>
    <w:p w:rsidR="002321F3" w:rsidRPr="00C33CFE" w:rsidRDefault="002321F3" w:rsidP="00DE48B5">
      <w:pPr>
        <w:ind w:firstLine="0"/>
        <w:rPr>
          <w:rFonts w:ascii="Tahoma" w:hAnsi="Tahoma" w:cs="Tahoma"/>
        </w:rPr>
      </w:pPr>
    </w:p>
    <w:p w:rsidR="00DE48B5" w:rsidRDefault="00DE48B5" w:rsidP="00DE48B5">
      <w:pPr>
        <w:ind w:firstLine="0"/>
        <w:rPr>
          <w:rFonts w:ascii="Tahoma" w:hAnsi="Tahoma" w:cs="Tahoma"/>
        </w:rPr>
      </w:pPr>
      <w:r w:rsidRPr="00C33CFE">
        <w:rPr>
          <w:rFonts w:ascii="Tahoma" w:hAnsi="Tahoma" w:cs="Tahoma"/>
        </w:rPr>
        <w:t xml:space="preserve">Se </w:t>
      </w:r>
      <w:r w:rsidR="006D638F" w:rsidRPr="00C33CFE">
        <w:rPr>
          <w:rFonts w:ascii="Tahoma" w:hAnsi="Tahoma" w:cs="Tahoma"/>
        </w:rPr>
        <w:t>pretende</w:t>
      </w:r>
      <w:r w:rsidRPr="00C33CFE">
        <w:rPr>
          <w:rFonts w:ascii="Tahoma" w:hAnsi="Tahoma" w:cs="Tahoma"/>
        </w:rPr>
        <w:t xml:space="preserve"> que</w:t>
      </w:r>
      <w:r w:rsidR="006D638F" w:rsidRPr="00C33CFE">
        <w:rPr>
          <w:rFonts w:ascii="Tahoma" w:hAnsi="Tahoma" w:cs="Tahoma"/>
        </w:rPr>
        <w:t>,</w:t>
      </w:r>
      <w:r w:rsidRPr="00C33CFE">
        <w:rPr>
          <w:rFonts w:ascii="Tahoma" w:hAnsi="Tahoma" w:cs="Tahoma"/>
        </w:rPr>
        <w:t xml:space="preserve"> esta reforma logre reducir la presión económica sobre </w:t>
      </w:r>
      <w:r w:rsidR="004A3ACD" w:rsidRPr="00C33CFE">
        <w:rPr>
          <w:rFonts w:ascii="Tahoma" w:hAnsi="Tahoma" w:cs="Tahoma"/>
        </w:rPr>
        <w:t>las familias arrendatarias</w:t>
      </w:r>
      <w:r w:rsidRPr="00C33CFE">
        <w:rPr>
          <w:rFonts w:ascii="Tahoma" w:hAnsi="Tahoma" w:cs="Tahoma"/>
        </w:rPr>
        <w:t>. Además, la regulación de los aumentos en las rentas contribuirá a una mayor equidad social, permitiendo que los grupos más vulnerables puedan acceder a viviendas de calidad sin enfrentar aumentos exorbitantes en el costo de su alquiler. A su vez, se fomentará un mercado inmobiliario más estable y justo, donde los arrendadores tengan claridad sobre las reglas que regulan los aumentos de precios, y los inquilinos puedan mantener una mayor previsibilidad económica.</w:t>
      </w:r>
    </w:p>
    <w:p w:rsidR="002321F3" w:rsidRDefault="002321F3" w:rsidP="00DE48B5">
      <w:pPr>
        <w:ind w:firstLine="0"/>
        <w:rPr>
          <w:rFonts w:ascii="Tahoma" w:hAnsi="Tahoma" w:cs="Tahoma"/>
        </w:rPr>
      </w:pPr>
    </w:p>
    <w:p w:rsidR="00D32D2C" w:rsidRDefault="00D32D2C" w:rsidP="00D32D2C">
      <w:pPr>
        <w:ind w:left="10" w:right="49" w:firstLine="0"/>
        <w:rPr>
          <w:rFonts w:ascii="Tahoma" w:eastAsia="Times New Roman" w:hAnsi="Tahoma" w:cs="Tahoma"/>
          <w:bCs/>
        </w:rPr>
      </w:pPr>
      <w:r w:rsidRPr="00A816A4">
        <w:rPr>
          <w:rFonts w:ascii="Tahoma" w:hAnsi="Tahoma" w:cs="Tahoma"/>
        </w:rPr>
        <w:t>Es</w:t>
      </w:r>
      <w:r>
        <w:rPr>
          <w:rFonts w:ascii="Tahoma" w:hAnsi="Tahoma" w:cs="Tahoma"/>
        </w:rPr>
        <w:t>,</w:t>
      </w:r>
      <w:r w:rsidRPr="00A816A4">
        <w:rPr>
          <w:rFonts w:ascii="Tahoma" w:hAnsi="Tahoma" w:cs="Tahoma"/>
        </w:rPr>
        <w:t xml:space="preserve"> por todo lo expuesto y fundado que sometemos a consideración del pleno de este Honorable Congreso el siguiente proyecto de </w:t>
      </w:r>
      <w:r w:rsidRPr="00A816A4">
        <w:rPr>
          <w:rFonts w:ascii="Tahoma" w:eastAsia="Times New Roman" w:hAnsi="Tahoma" w:cs="Tahoma"/>
          <w:bCs/>
        </w:rPr>
        <w:t xml:space="preserve">Decreto: </w:t>
      </w:r>
    </w:p>
    <w:p w:rsidR="001C69DE" w:rsidRDefault="001C69DE" w:rsidP="00D32D2C">
      <w:pPr>
        <w:ind w:left="10" w:right="49" w:firstLine="0"/>
        <w:rPr>
          <w:rFonts w:ascii="Tahoma" w:eastAsia="Times New Roman" w:hAnsi="Tahoma" w:cs="Tahoma"/>
          <w:bCs/>
        </w:rPr>
      </w:pPr>
    </w:p>
    <w:p w:rsidR="003C5585" w:rsidRDefault="003C5585" w:rsidP="003C5585">
      <w:pPr>
        <w:ind w:firstLine="0"/>
        <w:rPr>
          <w:rFonts w:ascii="Tahoma" w:hAnsi="Tahoma" w:cs="Tahoma"/>
          <w:b/>
          <w:sz w:val="22"/>
          <w:szCs w:val="22"/>
        </w:rPr>
      </w:pPr>
      <w:r w:rsidRPr="00FE23C2">
        <w:rPr>
          <w:rFonts w:ascii="Tahoma" w:hAnsi="Tahoma" w:cs="Tahoma"/>
          <w:b/>
          <w:sz w:val="22"/>
          <w:szCs w:val="22"/>
        </w:rPr>
        <w:t xml:space="preserve">DECRETO: </w:t>
      </w:r>
    </w:p>
    <w:p w:rsidR="00F07097" w:rsidRPr="00FE23C2" w:rsidRDefault="00F07097" w:rsidP="003C5585">
      <w:pPr>
        <w:ind w:firstLine="0"/>
        <w:rPr>
          <w:rFonts w:ascii="Tahoma" w:hAnsi="Tahoma" w:cs="Tahoma"/>
          <w:b/>
          <w:sz w:val="22"/>
          <w:szCs w:val="22"/>
        </w:rPr>
      </w:pPr>
    </w:p>
    <w:p w:rsidR="003C5585" w:rsidRDefault="003C5585" w:rsidP="003C5585">
      <w:pPr>
        <w:ind w:left="10" w:right="49" w:firstLine="0"/>
        <w:rPr>
          <w:rFonts w:ascii="Tahoma" w:hAnsi="Tahoma" w:cs="Tahoma"/>
          <w:bCs/>
          <w:sz w:val="22"/>
          <w:szCs w:val="22"/>
        </w:rPr>
      </w:pPr>
      <w:r w:rsidRPr="00FE23C2">
        <w:rPr>
          <w:rFonts w:ascii="Tahoma" w:hAnsi="Tahoma" w:cs="Tahoma"/>
          <w:b/>
          <w:sz w:val="22"/>
          <w:szCs w:val="22"/>
        </w:rPr>
        <w:t>SE ADICIONA UN NUEVO ARTÍCULO 1573 BIS; SE REFORMA EL ARTÍCULO 1613 DEL CÓDIGO CIVIL; SE RECORRE LA FRACCIÓN XV, UBICÁNDOLE COMO FRACCIÓN XVII Y SE ADICIONAN DOS NUEVAS FRACCIONES XV Y XVI DEL ARTÍCULO PRIMERO; SE REFORMA LA FRACCIÓN I DEL ARTÍCULO 22; SE REFORMA LA FRACCIÓN I DEL ARTÍCULO 73; SE ADICIONA EL CAPÍTULO V DE LA VIVIENDA EN ARRENDAMIENTO, INTEGRADO POR DOS NUEVOS ARTÍCULOS, 62 BIS Y 62 TER TODOS DE LA LEY DE VIVIENDA DEL ESTADO DE YUCATÁN</w:t>
      </w:r>
      <w:r w:rsidR="002321F3">
        <w:rPr>
          <w:rFonts w:ascii="Tahoma" w:hAnsi="Tahoma" w:cs="Tahoma"/>
          <w:b/>
          <w:sz w:val="22"/>
          <w:szCs w:val="22"/>
        </w:rPr>
        <w:t xml:space="preserve"> </w:t>
      </w:r>
      <w:r w:rsidR="002321F3">
        <w:rPr>
          <w:rFonts w:ascii="Tahoma" w:hAnsi="Tahoma" w:cs="Tahoma"/>
          <w:bCs/>
          <w:sz w:val="22"/>
          <w:szCs w:val="22"/>
        </w:rPr>
        <w:t>para quedar como sigue:</w:t>
      </w:r>
    </w:p>
    <w:p w:rsidR="002321F3" w:rsidRDefault="002321F3" w:rsidP="003C5585">
      <w:pPr>
        <w:ind w:left="10" w:right="49" w:firstLine="0"/>
        <w:rPr>
          <w:rFonts w:ascii="Tahoma" w:eastAsia="Times New Roman" w:hAnsi="Tahoma" w:cs="Tahoma"/>
          <w:bCs/>
        </w:rPr>
      </w:pPr>
    </w:p>
    <w:p w:rsidR="002321F3" w:rsidRPr="002321F3" w:rsidRDefault="002321F3" w:rsidP="003C5585">
      <w:pPr>
        <w:ind w:left="10" w:right="49" w:firstLine="0"/>
        <w:rPr>
          <w:rFonts w:ascii="Tahoma" w:eastAsia="Times New Roman" w:hAnsi="Tahoma" w:cs="Tahoma"/>
          <w:bCs/>
        </w:rPr>
      </w:pPr>
    </w:p>
    <w:p w:rsidR="00D32D2C" w:rsidRDefault="003C5585" w:rsidP="00DE48B5">
      <w:pPr>
        <w:ind w:firstLine="0"/>
        <w:rPr>
          <w:rFonts w:ascii="Tahoma" w:hAnsi="Tahoma" w:cs="Tahoma"/>
          <w:sz w:val="22"/>
          <w:szCs w:val="22"/>
        </w:rPr>
      </w:pPr>
      <w:r w:rsidRPr="00FE23C2">
        <w:rPr>
          <w:rFonts w:ascii="Tahoma" w:hAnsi="Tahoma" w:cs="Tahoma"/>
          <w:b/>
          <w:sz w:val="22"/>
          <w:szCs w:val="22"/>
        </w:rPr>
        <w:t>ARTÍCULO PRIMERO. -</w:t>
      </w:r>
      <w:r w:rsidRPr="00FE23C2">
        <w:rPr>
          <w:rFonts w:ascii="Tahoma" w:hAnsi="Tahoma" w:cs="Tahoma"/>
          <w:sz w:val="22"/>
          <w:szCs w:val="22"/>
        </w:rPr>
        <w:t xml:space="preserve"> </w:t>
      </w:r>
      <w:r w:rsidRPr="00D440D1">
        <w:rPr>
          <w:rFonts w:ascii="Tahoma" w:hAnsi="Tahoma" w:cs="Tahoma"/>
          <w:bCs/>
          <w:sz w:val="22"/>
          <w:szCs w:val="22"/>
        </w:rPr>
        <w:t>SE ADICIONA UN NUEVO ARTÍCULO 1573 BIS</w:t>
      </w:r>
      <w:r w:rsidRPr="00FE23C2">
        <w:rPr>
          <w:rFonts w:ascii="Tahoma" w:hAnsi="Tahoma" w:cs="Tahoma"/>
          <w:sz w:val="22"/>
          <w:szCs w:val="22"/>
        </w:rPr>
        <w:t xml:space="preserve"> </w:t>
      </w:r>
      <w:r>
        <w:rPr>
          <w:rFonts w:ascii="Tahoma" w:hAnsi="Tahoma" w:cs="Tahoma"/>
          <w:sz w:val="22"/>
          <w:szCs w:val="22"/>
        </w:rPr>
        <w:t xml:space="preserve">y </w:t>
      </w:r>
      <w:r w:rsidRPr="00FE23C2">
        <w:rPr>
          <w:rFonts w:ascii="Tahoma" w:hAnsi="Tahoma" w:cs="Tahoma"/>
          <w:sz w:val="22"/>
          <w:szCs w:val="22"/>
        </w:rPr>
        <w:t>SE REFORMA EL ARTÍCULO 1613 DEL CÓDIGO CIVIL DEL ESTADO DE YUCATÁN, para quedar como sigue:</w:t>
      </w:r>
    </w:p>
    <w:p w:rsidR="001C69DE" w:rsidRDefault="001C69DE" w:rsidP="00DE48B5">
      <w:pPr>
        <w:ind w:firstLine="0"/>
        <w:rPr>
          <w:rFonts w:ascii="Tahoma" w:hAnsi="Tahoma" w:cs="Tahoma"/>
          <w:sz w:val="22"/>
          <w:szCs w:val="22"/>
        </w:rPr>
      </w:pPr>
    </w:p>
    <w:p w:rsidR="001C69DE" w:rsidRDefault="001C69DE" w:rsidP="00DE48B5">
      <w:pPr>
        <w:ind w:firstLine="0"/>
        <w:rPr>
          <w:rFonts w:ascii="Tahoma" w:hAnsi="Tahoma" w:cs="Tahoma"/>
          <w:sz w:val="22"/>
          <w:szCs w:val="22"/>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3C5585" w:rsidRPr="00FE23C2" w:rsidTr="00DC6D1E">
        <w:tc>
          <w:tcPr>
            <w:tcW w:w="5000" w:type="pct"/>
          </w:tcPr>
          <w:p w:rsidR="003C5585" w:rsidRDefault="003C5585" w:rsidP="00E2061F">
            <w:pPr>
              <w:ind w:firstLine="0"/>
              <w:jc w:val="center"/>
              <w:rPr>
                <w:rFonts w:ascii="Tahoma" w:hAnsi="Tahoma" w:cs="Tahoma"/>
                <w:sz w:val="22"/>
                <w:szCs w:val="22"/>
              </w:rPr>
            </w:pPr>
            <w:r w:rsidRPr="00FE23C2">
              <w:rPr>
                <w:rFonts w:ascii="Tahoma" w:hAnsi="Tahoma" w:cs="Tahoma"/>
                <w:b/>
                <w:sz w:val="22"/>
                <w:szCs w:val="22"/>
              </w:rPr>
              <w:t>CÓDIGO CIVIL DEL ESTADO DE YUCATÁN</w:t>
            </w:r>
            <w:r>
              <w:rPr>
                <w:rFonts w:ascii="Tahoma" w:hAnsi="Tahoma" w:cs="Tahoma"/>
                <w:sz w:val="22"/>
                <w:szCs w:val="22"/>
              </w:rPr>
              <w:t xml:space="preserve"> </w:t>
            </w:r>
          </w:p>
          <w:p w:rsidR="003C5585" w:rsidRPr="00FE23C2" w:rsidRDefault="003C5585" w:rsidP="00E2061F">
            <w:pPr>
              <w:ind w:firstLine="0"/>
              <w:jc w:val="center"/>
              <w:rPr>
                <w:rFonts w:ascii="Tahoma" w:hAnsi="Tahoma" w:cs="Tahoma"/>
                <w:sz w:val="22"/>
                <w:szCs w:val="22"/>
              </w:rPr>
            </w:pPr>
          </w:p>
        </w:tc>
      </w:tr>
      <w:tr w:rsidR="003C5585" w:rsidRPr="002412C4" w:rsidTr="00DC6D1E">
        <w:tc>
          <w:tcPr>
            <w:tcW w:w="5000" w:type="pct"/>
          </w:tcPr>
          <w:p w:rsidR="003C5585" w:rsidRDefault="003C5585" w:rsidP="00E2061F">
            <w:pPr>
              <w:ind w:firstLine="0"/>
              <w:rPr>
                <w:rFonts w:ascii="Tahoma" w:hAnsi="Tahoma" w:cs="Tahoma"/>
                <w:b/>
                <w:sz w:val="22"/>
                <w:szCs w:val="22"/>
              </w:rPr>
            </w:pPr>
            <w:r w:rsidRPr="002412C4">
              <w:rPr>
                <w:rFonts w:ascii="Tahoma" w:hAnsi="Tahoma" w:cs="Tahoma"/>
                <w:b/>
                <w:sz w:val="22"/>
                <w:szCs w:val="22"/>
                <w:lang w:val="es-MX"/>
              </w:rPr>
              <w:t xml:space="preserve">Artículo 1573 bis </w:t>
            </w:r>
            <w:r w:rsidRPr="002412C4">
              <w:rPr>
                <w:rFonts w:ascii="Tahoma" w:hAnsi="Tahoma" w:cs="Tahoma"/>
                <w:b/>
                <w:sz w:val="22"/>
                <w:szCs w:val="22"/>
              </w:rPr>
              <w:t>Se establecerá un registro digital de contratos</w:t>
            </w:r>
            <w:r w:rsidR="008C3374">
              <w:rPr>
                <w:rFonts w:ascii="Tahoma" w:hAnsi="Tahoma" w:cs="Tahoma"/>
                <w:b/>
                <w:sz w:val="22"/>
                <w:szCs w:val="22"/>
              </w:rPr>
              <w:t xml:space="preserve"> por medio de los cuales se pacte el uso, desalojo o alquiler</w:t>
            </w:r>
            <w:r w:rsidRPr="002412C4">
              <w:rPr>
                <w:rFonts w:ascii="Tahoma" w:hAnsi="Tahoma" w:cs="Tahoma"/>
                <w:b/>
                <w:sz w:val="22"/>
                <w:szCs w:val="22"/>
              </w:rPr>
              <w:t>, de autorización inmediata, a cargo del Gobierno del Estado de Yucatán y para tales efectos el arrendador deberá registrar sus contratos en un plazo no mayor a 30 días de celebrado el contrato.</w:t>
            </w:r>
          </w:p>
          <w:p w:rsidR="002321F3" w:rsidRPr="002412C4" w:rsidRDefault="002321F3" w:rsidP="00E2061F">
            <w:pPr>
              <w:ind w:firstLine="0"/>
              <w:rPr>
                <w:rFonts w:ascii="Tahoma" w:hAnsi="Tahoma" w:cs="Tahoma"/>
                <w:b/>
                <w:sz w:val="22"/>
                <w:szCs w:val="22"/>
              </w:rPr>
            </w:pPr>
          </w:p>
          <w:p w:rsidR="003C5585" w:rsidRDefault="003C5585" w:rsidP="00E2061F">
            <w:pPr>
              <w:ind w:firstLine="0"/>
              <w:rPr>
                <w:rFonts w:ascii="Tahoma" w:hAnsi="Tahoma" w:cs="Tahoma"/>
                <w:b/>
                <w:sz w:val="22"/>
                <w:szCs w:val="22"/>
                <w:lang w:val="es-MX"/>
              </w:rPr>
            </w:pPr>
            <w:r w:rsidRPr="002412C4">
              <w:rPr>
                <w:rFonts w:ascii="Tahoma" w:hAnsi="Tahoma" w:cs="Tahoma"/>
                <w:b/>
                <w:sz w:val="22"/>
                <w:szCs w:val="22"/>
                <w:lang w:val="es-MX"/>
              </w:rPr>
              <w:t xml:space="preserve">El registro a que se refiere el párrafo anterior se regirá de conformidad con los criterios de la ley de transparencia y acceso a la información pública del Estado de Yucatán, la </w:t>
            </w:r>
            <w:r w:rsidRPr="002412C4">
              <w:rPr>
                <w:rFonts w:ascii="Tahoma" w:hAnsi="Tahoma" w:cs="Tahoma"/>
                <w:b/>
                <w:sz w:val="22"/>
                <w:szCs w:val="22"/>
                <w:shd w:val="clear" w:color="auto" w:fill="FFFFFF"/>
              </w:rPr>
              <w:t>Ley De Protección De Datos Personales En Posesión De Sujetos Obligados Del Estado De Yucatán</w:t>
            </w:r>
            <w:r w:rsidRPr="002412C4">
              <w:rPr>
                <w:rFonts w:ascii="Tahoma" w:hAnsi="Tahoma" w:cs="Tahoma"/>
                <w:b/>
                <w:sz w:val="22"/>
                <w:szCs w:val="22"/>
                <w:lang w:val="es-MX"/>
              </w:rPr>
              <w:t>, mismo que solo podrá contener los siguientes datos:</w:t>
            </w:r>
          </w:p>
          <w:p w:rsidR="003C5585" w:rsidRPr="002412C4" w:rsidRDefault="003C5585" w:rsidP="00E2061F">
            <w:pPr>
              <w:ind w:firstLine="0"/>
              <w:rPr>
                <w:rFonts w:ascii="Tahoma" w:hAnsi="Tahoma" w:cs="Tahoma"/>
                <w:b/>
                <w:sz w:val="22"/>
                <w:szCs w:val="22"/>
                <w:lang w:val="es-MX"/>
              </w:rPr>
            </w:pPr>
          </w:p>
          <w:p w:rsidR="003C5585" w:rsidRPr="002412C4" w:rsidRDefault="003C5585" w:rsidP="003C5585">
            <w:pPr>
              <w:pStyle w:val="Prrafodelista"/>
              <w:numPr>
                <w:ilvl w:val="0"/>
                <w:numId w:val="12"/>
              </w:numPr>
              <w:rPr>
                <w:rFonts w:ascii="Tahoma" w:hAnsi="Tahoma" w:cs="Tahoma"/>
                <w:b/>
                <w:sz w:val="22"/>
                <w:szCs w:val="22"/>
                <w:lang w:val="es-MX"/>
              </w:rPr>
            </w:pPr>
            <w:r w:rsidRPr="002412C4">
              <w:rPr>
                <w:rFonts w:ascii="Tahoma" w:hAnsi="Tahoma" w:cs="Tahoma"/>
                <w:b/>
                <w:sz w:val="22"/>
                <w:szCs w:val="22"/>
                <w:lang w:val="es-MX"/>
              </w:rPr>
              <w:t>Monto de la Renta</w:t>
            </w:r>
          </w:p>
          <w:p w:rsidR="003C5585" w:rsidRPr="002412C4" w:rsidRDefault="003C5585" w:rsidP="003C5585">
            <w:pPr>
              <w:pStyle w:val="Prrafodelista"/>
              <w:numPr>
                <w:ilvl w:val="0"/>
                <w:numId w:val="12"/>
              </w:numPr>
              <w:rPr>
                <w:rFonts w:ascii="Tahoma" w:hAnsi="Tahoma" w:cs="Tahoma"/>
                <w:b/>
                <w:sz w:val="22"/>
                <w:szCs w:val="22"/>
                <w:lang w:val="es-MX"/>
              </w:rPr>
            </w:pPr>
            <w:r w:rsidRPr="002412C4">
              <w:rPr>
                <w:rFonts w:ascii="Tahoma" w:hAnsi="Tahoma" w:cs="Tahoma"/>
                <w:b/>
                <w:color w:val="000000"/>
                <w:sz w:val="22"/>
                <w:szCs w:val="22"/>
              </w:rPr>
              <w:t xml:space="preserve">Incremento pactado, </w:t>
            </w:r>
          </w:p>
          <w:p w:rsidR="003C5585" w:rsidRPr="002412C4" w:rsidRDefault="003C5585" w:rsidP="003C5585">
            <w:pPr>
              <w:pStyle w:val="Prrafodelista"/>
              <w:numPr>
                <w:ilvl w:val="0"/>
                <w:numId w:val="12"/>
              </w:numPr>
              <w:rPr>
                <w:rFonts w:ascii="Tahoma" w:hAnsi="Tahoma" w:cs="Tahoma"/>
                <w:b/>
                <w:sz w:val="22"/>
                <w:szCs w:val="22"/>
                <w:lang w:val="es-MX"/>
              </w:rPr>
            </w:pPr>
            <w:r w:rsidRPr="002412C4">
              <w:rPr>
                <w:rFonts w:ascii="Tahoma" w:hAnsi="Tahoma" w:cs="Tahoma"/>
                <w:b/>
                <w:color w:val="000000"/>
                <w:sz w:val="22"/>
                <w:szCs w:val="22"/>
              </w:rPr>
              <w:t>Colonia, barrió, fraccionamiento o comisaria</w:t>
            </w:r>
          </w:p>
          <w:p w:rsidR="003C5585" w:rsidRPr="001C69DE" w:rsidRDefault="003C5585" w:rsidP="003C5585">
            <w:pPr>
              <w:pStyle w:val="Prrafodelista"/>
              <w:numPr>
                <w:ilvl w:val="0"/>
                <w:numId w:val="12"/>
              </w:numPr>
              <w:rPr>
                <w:rFonts w:ascii="Tahoma" w:hAnsi="Tahoma" w:cs="Tahoma"/>
                <w:b/>
                <w:sz w:val="22"/>
                <w:szCs w:val="22"/>
                <w:lang w:val="es-MX"/>
              </w:rPr>
            </w:pPr>
            <w:r w:rsidRPr="002412C4">
              <w:rPr>
                <w:rFonts w:ascii="Tahoma" w:hAnsi="Tahoma" w:cs="Tahoma"/>
                <w:b/>
                <w:color w:val="000000"/>
                <w:sz w:val="22"/>
                <w:szCs w:val="22"/>
              </w:rPr>
              <w:t>Municipio en el que se ubica el inmueble</w:t>
            </w:r>
          </w:p>
          <w:p w:rsidR="001C69DE" w:rsidRPr="002412C4" w:rsidRDefault="001C69DE" w:rsidP="001C69DE">
            <w:pPr>
              <w:pStyle w:val="Prrafodelista"/>
              <w:ind w:firstLine="0"/>
              <w:rPr>
                <w:rFonts w:ascii="Tahoma" w:hAnsi="Tahoma" w:cs="Tahoma"/>
                <w:b/>
                <w:sz w:val="22"/>
                <w:szCs w:val="22"/>
                <w:lang w:val="es-MX"/>
              </w:rPr>
            </w:pPr>
          </w:p>
          <w:p w:rsidR="003C5585" w:rsidRPr="002412C4" w:rsidRDefault="003C5585" w:rsidP="00E2061F">
            <w:pPr>
              <w:ind w:firstLine="0"/>
              <w:rPr>
                <w:rFonts w:ascii="Tahoma" w:hAnsi="Tahoma" w:cs="Tahoma"/>
                <w:b/>
                <w:sz w:val="22"/>
                <w:szCs w:val="22"/>
                <w:lang w:val="es-MX"/>
              </w:rPr>
            </w:pPr>
            <w:r w:rsidRPr="002412C4">
              <w:rPr>
                <w:rFonts w:ascii="Tahoma" w:hAnsi="Tahoma" w:cs="Tahoma"/>
                <w:b/>
                <w:sz w:val="22"/>
                <w:szCs w:val="22"/>
                <w:lang w:val="es-MX"/>
              </w:rPr>
              <w:t>La persona o personas servidoras públicas encargadas del registro que hagan mal uso del mismo, o que no actúan con el deber de cuidado necesario para preservar la integridad y divulgación de los datos de los datos de los particulares, serán sancionadas conforme a las disposiciones legales aplicables en materia penal y administrativa.</w:t>
            </w:r>
          </w:p>
          <w:p w:rsidR="003C5585" w:rsidRPr="002412C4" w:rsidRDefault="003C5585" w:rsidP="00E2061F">
            <w:pPr>
              <w:autoSpaceDE w:val="0"/>
              <w:autoSpaceDN w:val="0"/>
              <w:adjustRightInd w:val="0"/>
              <w:ind w:firstLine="0"/>
              <w:rPr>
                <w:rFonts w:ascii="Tahoma" w:hAnsi="Tahoma" w:cs="Tahoma"/>
                <w:b/>
                <w:sz w:val="22"/>
                <w:szCs w:val="22"/>
                <w:lang w:val="es-MX"/>
              </w:rPr>
            </w:pPr>
          </w:p>
        </w:tc>
      </w:tr>
      <w:tr w:rsidR="003C5585" w:rsidRPr="00FE23C2" w:rsidTr="00DC6D1E">
        <w:tc>
          <w:tcPr>
            <w:tcW w:w="5000" w:type="pct"/>
          </w:tcPr>
          <w:p w:rsidR="003C5585" w:rsidRPr="00FE23C2" w:rsidRDefault="003C5585" w:rsidP="00E2061F">
            <w:pPr>
              <w:autoSpaceDE w:val="0"/>
              <w:autoSpaceDN w:val="0"/>
              <w:adjustRightInd w:val="0"/>
              <w:ind w:firstLine="0"/>
              <w:rPr>
                <w:rFonts w:ascii="Tahoma" w:hAnsi="Tahoma" w:cs="Tahoma"/>
                <w:b/>
                <w:sz w:val="22"/>
                <w:szCs w:val="22"/>
                <w:lang w:val="es-MX"/>
              </w:rPr>
            </w:pPr>
            <w:r w:rsidRPr="00FE23C2">
              <w:rPr>
                <w:rFonts w:ascii="Tahoma" w:hAnsi="Tahoma" w:cs="Tahoma"/>
                <w:b/>
                <w:sz w:val="22"/>
                <w:szCs w:val="22"/>
                <w:lang w:val="es-MX"/>
              </w:rPr>
              <w:t>Artículo 1613.-</w:t>
            </w:r>
            <w:r w:rsidRPr="00FE23C2">
              <w:rPr>
                <w:rFonts w:ascii="Tahoma" w:hAnsi="Tahoma" w:cs="Tahoma"/>
                <w:sz w:val="22"/>
                <w:szCs w:val="22"/>
                <w:lang w:val="es-MX"/>
              </w:rPr>
              <w:t xml:space="preserve"> </w:t>
            </w:r>
            <w:r w:rsidRPr="00FE23C2">
              <w:rPr>
                <w:rFonts w:ascii="Tahoma" w:hAnsi="Tahoma" w:cs="Tahoma"/>
                <w:b/>
                <w:sz w:val="22"/>
                <w:szCs w:val="22"/>
                <w:lang w:val="es-MX"/>
              </w:rPr>
              <w:t>Cuando el caso en que un contrato o convenio en el que se pacte el arrendamiento</w:t>
            </w:r>
            <w:r w:rsidRPr="00FE23C2">
              <w:rPr>
                <w:rStyle w:val="Refdenotaalpie"/>
                <w:rFonts w:ascii="Tahoma" w:hAnsi="Tahoma" w:cs="Tahoma"/>
                <w:b/>
                <w:sz w:val="22"/>
                <w:szCs w:val="22"/>
                <w:lang w:val="es-MX"/>
              </w:rPr>
              <w:footnoteReference w:id="3"/>
            </w:r>
            <w:r w:rsidRPr="00FE23C2">
              <w:rPr>
                <w:rFonts w:ascii="Tahoma" w:hAnsi="Tahoma" w:cs="Tahoma"/>
                <w:b/>
                <w:sz w:val="22"/>
                <w:szCs w:val="22"/>
                <w:lang w:val="es-MX"/>
              </w:rPr>
              <w:t xml:space="preserve"> de un bien inmueble destinado a la vivienda se renueve para un periodo subsecuente, el incremento de la contraprestación económica no podrá incrementar más que la </w:t>
            </w:r>
            <w:r w:rsidRPr="00FE23C2">
              <w:rPr>
                <w:rFonts w:ascii="Tahoma" w:hAnsi="Tahoma" w:cs="Tahoma"/>
                <w:b/>
                <w:sz w:val="22"/>
                <w:szCs w:val="22"/>
              </w:rPr>
              <w:t>inflación reportada por el Banco de México en el año anterior, respecto de la cantidad pactada como renta mensual.</w:t>
            </w:r>
          </w:p>
          <w:p w:rsidR="003C5585" w:rsidRDefault="003C5585" w:rsidP="00E2061F">
            <w:pPr>
              <w:autoSpaceDE w:val="0"/>
              <w:autoSpaceDN w:val="0"/>
              <w:adjustRightInd w:val="0"/>
              <w:ind w:firstLine="0"/>
              <w:rPr>
                <w:rFonts w:ascii="Tahoma" w:hAnsi="Tahoma" w:cs="Tahoma"/>
                <w:b/>
                <w:sz w:val="22"/>
                <w:szCs w:val="22"/>
                <w:lang w:val="es-MX"/>
              </w:rPr>
            </w:pPr>
            <w:r w:rsidRPr="00FE23C2">
              <w:rPr>
                <w:rFonts w:ascii="Tahoma" w:hAnsi="Tahoma" w:cs="Tahoma"/>
                <w:b/>
                <w:sz w:val="22"/>
                <w:szCs w:val="22"/>
                <w:lang w:val="es-MX"/>
              </w:rPr>
              <w:t xml:space="preserve">Vencido un contrato de o convenio que implique arrendamiento, tendrá derecho el inquilino, siempre que esté al corriente en el pago de las rentas, a que se le prorrogue hasta por un año ese convenio o contrato. </w:t>
            </w:r>
          </w:p>
          <w:p w:rsidR="003C5585" w:rsidRPr="00FE23C2" w:rsidRDefault="003C5585" w:rsidP="00E2061F">
            <w:pPr>
              <w:autoSpaceDE w:val="0"/>
              <w:autoSpaceDN w:val="0"/>
              <w:adjustRightInd w:val="0"/>
              <w:ind w:firstLine="0"/>
              <w:rPr>
                <w:rFonts w:ascii="Tahoma" w:hAnsi="Tahoma" w:cs="Tahoma"/>
                <w:b/>
                <w:sz w:val="22"/>
                <w:szCs w:val="22"/>
              </w:rPr>
            </w:pPr>
          </w:p>
        </w:tc>
      </w:tr>
      <w:tr w:rsidR="003C5585" w:rsidRPr="00FE23C2" w:rsidTr="00DC6D1E">
        <w:tc>
          <w:tcPr>
            <w:tcW w:w="5000" w:type="pct"/>
          </w:tcPr>
          <w:p w:rsidR="003C5585" w:rsidRPr="00FE23C2" w:rsidRDefault="003C5585" w:rsidP="00E2061F">
            <w:pPr>
              <w:ind w:firstLine="0"/>
              <w:rPr>
                <w:rFonts w:ascii="Tahoma" w:hAnsi="Tahoma" w:cs="Tahoma"/>
                <w:sz w:val="22"/>
                <w:szCs w:val="22"/>
              </w:rPr>
            </w:pPr>
          </w:p>
        </w:tc>
      </w:tr>
      <w:tr w:rsidR="003C5585" w:rsidRPr="00FE23C2" w:rsidTr="00DC6D1E">
        <w:tc>
          <w:tcPr>
            <w:tcW w:w="5000" w:type="pct"/>
          </w:tcPr>
          <w:p w:rsidR="003C5585" w:rsidRDefault="003C5585" w:rsidP="003C5585">
            <w:pPr>
              <w:ind w:firstLine="0"/>
              <w:rPr>
                <w:rFonts w:ascii="Tahoma" w:hAnsi="Tahoma" w:cs="Tahoma"/>
                <w:sz w:val="22"/>
                <w:szCs w:val="22"/>
              </w:rPr>
            </w:pPr>
            <w:r w:rsidRPr="00FE23C2">
              <w:rPr>
                <w:rFonts w:ascii="Tahoma" w:hAnsi="Tahoma" w:cs="Tahoma"/>
                <w:b/>
                <w:sz w:val="22"/>
                <w:szCs w:val="22"/>
              </w:rPr>
              <w:t xml:space="preserve">ARTÍCULO SEGUNDO. - </w:t>
            </w:r>
            <w:r w:rsidRPr="00FE23C2">
              <w:rPr>
                <w:rFonts w:ascii="Tahoma" w:hAnsi="Tahoma" w:cs="Tahoma"/>
                <w:sz w:val="22"/>
                <w:szCs w:val="22"/>
              </w:rPr>
              <w:t>SE RECORRE LA FRACCIÓN XV, UBICÁNDOLE COMO FRACCIÓN XVII Y SE ADICIONAN DOS NUEVAS FRACCIONES XV Y XVI DEL ARTÍCULO PRIMERO; SE REFORMA LA FRACCIÓN I DEL ARTÍCULO 22; SE REFORMA LA FRACCIÓN I DEL ARTÍCULO 73; SE ADICIONA EL CAPÍTULO V DE LA VIVIENDA EN ARRENDAMIENTO, INTEGRADO POR DOS NUEVOS ARTÍCULOS, 62 BIS Y 62 TER TODOS DE LA LEY DE VIVIENDA DEL ESTADO DE YUCATÁN, para quedar como sigue:</w:t>
            </w:r>
          </w:p>
          <w:p w:rsidR="003C5585" w:rsidRDefault="003C5585" w:rsidP="003C5585">
            <w:pPr>
              <w:ind w:firstLine="0"/>
              <w:rPr>
                <w:rFonts w:ascii="Tahoma" w:hAnsi="Tahoma" w:cs="Tahoma"/>
                <w:sz w:val="22"/>
                <w:szCs w:val="22"/>
              </w:rPr>
            </w:pPr>
          </w:p>
          <w:p w:rsidR="003C5585" w:rsidRPr="00FE23C2" w:rsidRDefault="003C5585" w:rsidP="003C5585">
            <w:pPr>
              <w:ind w:firstLine="0"/>
              <w:rPr>
                <w:rFonts w:ascii="Tahoma" w:hAnsi="Tahoma" w:cs="Tahoma"/>
                <w:b/>
                <w:sz w:val="22"/>
                <w:szCs w:val="22"/>
              </w:rPr>
            </w:pPr>
          </w:p>
        </w:tc>
      </w:tr>
      <w:tr w:rsidR="003C5585" w:rsidRPr="00FE23C2" w:rsidTr="00DC6D1E">
        <w:tc>
          <w:tcPr>
            <w:tcW w:w="5000" w:type="pct"/>
          </w:tcPr>
          <w:p w:rsidR="003C5585" w:rsidRPr="00FE23C2" w:rsidRDefault="003C5585" w:rsidP="00E2061F">
            <w:pPr>
              <w:ind w:firstLine="0"/>
              <w:jc w:val="center"/>
              <w:rPr>
                <w:rFonts w:ascii="Tahoma" w:hAnsi="Tahoma" w:cs="Tahoma"/>
                <w:sz w:val="22"/>
                <w:szCs w:val="22"/>
              </w:rPr>
            </w:pPr>
            <w:r w:rsidRPr="00FE23C2">
              <w:rPr>
                <w:rFonts w:ascii="Tahoma" w:hAnsi="Tahoma" w:cs="Tahoma"/>
                <w:b/>
                <w:sz w:val="22"/>
                <w:szCs w:val="22"/>
              </w:rPr>
              <w:t>LEY DE VIVIENDA DEL ESTADO DE YUCATÁN</w:t>
            </w:r>
          </w:p>
        </w:tc>
      </w:tr>
      <w:tr w:rsidR="003C5585" w:rsidRPr="00FE23C2" w:rsidTr="00DC6D1E">
        <w:tc>
          <w:tcPr>
            <w:tcW w:w="5000" w:type="pct"/>
          </w:tcPr>
          <w:p w:rsidR="003C5585" w:rsidRPr="00FE23C2" w:rsidRDefault="003C5585" w:rsidP="00E2061F">
            <w:pPr>
              <w:pStyle w:val="Default"/>
              <w:jc w:val="center"/>
              <w:rPr>
                <w:rFonts w:ascii="Tahoma" w:hAnsi="Tahoma" w:cs="Tahoma"/>
                <w:color w:val="auto"/>
                <w:sz w:val="22"/>
                <w:szCs w:val="22"/>
              </w:rPr>
            </w:pPr>
            <w:r w:rsidRPr="00FE23C2">
              <w:rPr>
                <w:rFonts w:ascii="Tahoma" w:hAnsi="Tahoma" w:cs="Tahoma"/>
                <w:b/>
                <w:bCs/>
                <w:color w:val="auto"/>
                <w:sz w:val="22"/>
                <w:szCs w:val="22"/>
              </w:rPr>
              <w:t>TÍTULO PRIMERO</w:t>
            </w:r>
          </w:p>
          <w:p w:rsidR="003C5585" w:rsidRPr="00FE23C2" w:rsidRDefault="003C5585" w:rsidP="00E2061F">
            <w:pPr>
              <w:pStyle w:val="Default"/>
              <w:jc w:val="center"/>
              <w:rPr>
                <w:rFonts w:ascii="Tahoma" w:hAnsi="Tahoma" w:cs="Tahoma"/>
                <w:color w:val="auto"/>
                <w:sz w:val="22"/>
                <w:szCs w:val="22"/>
              </w:rPr>
            </w:pPr>
            <w:r w:rsidRPr="00FE23C2">
              <w:rPr>
                <w:rFonts w:ascii="Tahoma" w:hAnsi="Tahoma" w:cs="Tahoma"/>
                <w:b/>
                <w:bCs/>
                <w:color w:val="auto"/>
                <w:sz w:val="22"/>
                <w:szCs w:val="22"/>
              </w:rPr>
              <w:t>DISPOSICIONES GENERALES</w:t>
            </w:r>
          </w:p>
          <w:p w:rsidR="003C5585" w:rsidRPr="00FE23C2" w:rsidRDefault="003C5585" w:rsidP="00E2061F">
            <w:pPr>
              <w:pStyle w:val="Default"/>
              <w:jc w:val="center"/>
              <w:rPr>
                <w:rFonts w:ascii="Tahoma" w:hAnsi="Tahoma" w:cs="Tahoma"/>
                <w:color w:val="auto"/>
                <w:sz w:val="22"/>
                <w:szCs w:val="22"/>
              </w:rPr>
            </w:pPr>
            <w:r w:rsidRPr="00FE23C2">
              <w:rPr>
                <w:rFonts w:ascii="Tahoma" w:hAnsi="Tahoma" w:cs="Tahoma"/>
                <w:b/>
                <w:bCs/>
                <w:color w:val="auto"/>
                <w:sz w:val="22"/>
                <w:szCs w:val="22"/>
              </w:rPr>
              <w:t>CAPÍTULO ÚNICO</w:t>
            </w:r>
          </w:p>
          <w:p w:rsidR="003C5585" w:rsidRPr="00FE23C2" w:rsidRDefault="003C5585" w:rsidP="00E2061F">
            <w:pPr>
              <w:pStyle w:val="Default"/>
              <w:jc w:val="center"/>
              <w:rPr>
                <w:rFonts w:ascii="Tahoma" w:hAnsi="Tahoma" w:cs="Tahoma"/>
                <w:color w:val="auto"/>
                <w:sz w:val="22"/>
                <w:szCs w:val="22"/>
              </w:rPr>
            </w:pPr>
            <w:r w:rsidRPr="00FE23C2">
              <w:rPr>
                <w:rFonts w:ascii="Tahoma" w:hAnsi="Tahoma" w:cs="Tahoma"/>
                <w:b/>
                <w:bCs/>
                <w:color w:val="auto"/>
                <w:sz w:val="22"/>
                <w:szCs w:val="22"/>
              </w:rPr>
              <w:t>Del Objeto de la Ley</w:t>
            </w: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hAnsi="Tahoma" w:cs="Tahoma"/>
                <w:color w:val="auto"/>
                <w:sz w:val="22"/>
                <w:szCs w:val="22"/>
              </w:rPr>
            </w:pPr>
            <w:r w:rsidRPr="00FE23C2">
              <w:rPr>
                <w:rFonts w:ascii="Tahoma" w:hAnsi="Tahoma" w:cs="Tahoma"/>
                <w:b/>
                <w:bCs/>
                <w:color w:val="auto"/>
                <w:sz w:val="22"/>
                <w:szCs w:val="22"/>
              </w:rPr>
              <w:t xml:space="preserve">Artículo 1.- </w:t>
            </w:r>
            <w:r w:rsidRPr="00FE23C2">
              <w:rPr>
                <w:rFonts w:ascii="Tahoma" w:hAnsi="Tahoma" w:cs="Tahoma"/>
                <w:color w:val="auto"/>
                <w:sz w:val="22"/>
                <w:szCs w:val="22"/>
              </w:rPr>
              <w:t xml:space="preserve">Esta Ley es de orden público, interés social y de observancia general en todo el territorio del Estado y tiene por objeto: </w:t>
            </w: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hAnsi="Tahoma" w:cs="Tahoma"/>
                <w:color w:val="auto"/>
                <w:sz w:val="22"/>
                <w:szCs w:val="22"/>
              </w:rPr>
            </w:pPr>
            <w:r w:rsidRPr="00FE23C2">
              <w:rPr>
                <w:rFonts w:ascii="Tahoma" w:hAnsi="Tahoma" w:cs="Tahoma"/>
                <w:color w:val="auto"/>
                <w:sz w:val="22"/>
                <w:szCs w:val="22"/>
              </w:rPr>
              <w:t>I a XIV. (…)</w:t>
            </w: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hAnsi="Tahoma" w:cs="Tahoma"/>
                <w:color w:val="auto"/>
                <w:sz w:val="22"/>
                <w:szCs w:val="22"/>
              </w:rPr>
            </w:pPr>
          </w:p>
          <w:p w:rsidR="003C5585" w:rsidRDefault="003C5585" w:rsidP="00E2061F">
            <w:pPr>
              <w:pStyle w:val="Default"/>
              <w:rPr>
                <w:rFonts w:ascii="Tahoma" w:hAnsi="Tahoma" w:cs="Tahoma"/>
                <w:b/>
                <w:color w:val="auto"/>
                <w:sz w:val="22"/>
                <w:szCs w:val="22"/>
              </w:rPr>
            </w:pPr>
            <w:r w:rsidRPr="00FE23C2">
              <w:rPr>
                <w:rFonts w:ascii="Tahoma" w:hAnsi="Tahoma" w:cs="Tahoma"/>
                <w:b/>
                <w:color w:val="auto"/>
                <w:sz w:val="22"/>
                <w:szCs w:val="22"/>
              </w:rPr>
              <w:t>XV. Disponer las sanciones aplicables a los particulares que incumplan con lo establecido en esta Ley y normas reglamentarias aplicables, así como a los servidores públicos que no cumplan con estas disposiciones, independientemente de las sanciones contempladas en los ordenamientos</w:t>
            </w:r>
            <w:r w:rsidRPr="00FE23C2">
              <w:rPr>
                <w:rFonts w:ascii="Tahoma" w:hAnsi="Tahoma" w:cs="Tahoma"/>
                <w:color w:val="auto"/>
                <w:sz w:val="22"/>
                <w:szCs w:val="22"/>
              </w:rPr>
              <w:t xml:space="preserve"> </w:t>
            </w:r>
            <w:r w:rsidRPr="00FE23C2">
              <w:rPr>
                <w:rFonts w:ascii="Tahoma" w:hAnsi="Tahoma" w:cs="Tahoma"/>
                <w:b/>
                <w:color w:val="auto"/>
                <w:sz w:val="22"/>
                <w:szCs w:val="22"/>
              </w:rPr>
              <w:t>relativos a las responsabilidades de servidores públicos;</w:t>
            </w:r>
          </w:p>
          <w:p w:rsidR="008C3374" w:rsidRPr="00FE23C2" w:rsidRDefault="008C3374" w:rsidP="00E2061F">
            <w:pPr>
              <w:pStyle w:val="Default"/>
              <w:rPr>
                <w:rFonts w:ascii="Tahoma" w:hAnsi="Tahoma" w:cs="Tahoma"/>
                <w:b/>
                <w:color w:val="auto"/>
                <w:sz w:val="22"/>
                <w:szCs w:val="22"/>
              </w:rPr>
            </w:pPr>
          </w:p>
          <w:p w:rsidR="003C5585" w:rsidRPr="00FE23C2" w:rsidRDefault="003C5585" w:rsidP="00E2061F">
            <w:pPr>
              <w:ind w:firstLine="0"/>
              <w:rPr>
                <w:rFonts w:ascii="Tahoma" w:hAnsi="Tahoma" w:cs="Tahoma"/>
                <w:b/>
                <w:sz w:val="22"/>
                <w:szCs w:val="22"/>
              </w:rPr>
            </w:pPr>
            <w:r w:rsidRPr="00FE23C2">
              <w:rPr>
                <w:rFonts w:ascii="Tahoma" w:hAnsi="Tahoma" w:cs="Tahoma"/>
                <w:b/>
                <w:sz w:val="22"/>
                <w:szCs w:val="22"/>
              </w:rPr>
              <w:t xml:space="preserve">XVl. </w:t>
            </w:r>
            <w:r w:rsidR="008C3374">
              <w:rPr>
                <w:rFonts w:ascii="Tahoma" w:hAnsi="Tahoma" w:cs="Tahoma"/>
                <w:b/>
                <w:sz w:val="22"/>
                <w:szCs w:val="22"/>
              </w:rPr>
              <w:t>fomenta</w:t>
            </w:r>
            <w:r w:rsidRPr="00FE23C2">
              <w:rPr>
                <w:rFonts w:ascii="Tahoma" w:hAnsi="Tahoma" w:cs="Tahoma"/>
                <w:b/>
                <w:sz w:val="22"/>
                <w:szCs w:val="22"/>
              </w:rPr>
              <w:t>r la producción pública de vivienda en arrendamiento asequible para las personas de menores ingresos por parte del Gobierno del Estado de Yucatán; y</w:t>
            </w:r>
          </w:p>
          <w:p w:rsidR="003C5585" w:rsidRPr="00FE23C2" w:rsidRDefault="003C5585" w:rsidP="00E2061F">
            <w:pPr>
              <w:ind w:firstLine="0"/>
              <w:rPr>
                <w:rFonts w:ascii="Tahoma" w:hAnsi="Tahoma" w:cs="Tahoma"/>
                <w:b/>
                <w:sz w:val="22"/>
                <w:szCs w:val="22"/>
              </w:rPr>
            </w:pPr>
          </w:p>
          <w:p w:rsidR="003C5585" w:rsidRPr="00FE23C2" w:rsidRDefault="003C5585" w:rsidP="00E2061F">
            <w:pPr>
              <w:ind w:firstLine="0"/>
              <w:rPr>
                <w:rFonts w:ascii="Tahoma" w:hAnsi="Tahoma" w:cs="Tahoma"/>
                <w:sz w:val="22"/>
                <w:szCs w:val="22"/>
              </w:rPr>
            </w:pPr>
            <w:r w:rsidRPr="00FE23C2">
              <w:rPr>
                <w:rFonts w:ascii="Tahoma" w:hAnsi="Tahoma" w:cs="Tahoma"/>
                <w:b/>
                <w:bCs/>
                <w:sz w:val="22"/>
                <w:szCs w:val="22"/>
              </w:rPr>
              <w:t xml:space="preserve">XVII.- </w:t>
            </w:r>
            <w:r w:rsidRPr="00FE23C2">
              <w:rPr>
                <w:rFonts w:ascii="Tahoma" w:hAnsi="Tahoma" w:cs="Tahoma"/>
                <w:sz w:val="22"/>
                <w:szCs w:val="22"/>
              </w:rPr>
              <w:t>Promover y aplicar los instrumentos de suelo y financieros para el desarrollo territorial previsto en la Ley de Asentamientos Humanos, Ordenamiento Territorial y Desarrollo Urbano del Estado de Yucatán.</w:t>
            </w:r>
          </w:p>
          <w:p w:rsidR="003C5585" w:rsidRPr="00FE23C2" w:rsidRDefault="003C5585" w:rsidP="00E2061F">
            <w:pPr>
              <w:ind w:firstLine="0"/>
              <w:rPr>
                <w:rFonts w:ascii="Tahoma" w:hAnsi="Tahoma" w:cs="Tahoma"/>
                <w:sz w:val="22"/>
                <w:szCs w:val="22"/>
              </w:rPr>
            </w:pPr>
          </w:p>
        </w:tc>
      </w:tr>
      <w:tr w:rsidR="003C5585" w:rsidRPr="00FE23C2" w:rsidTr="00DC6D1E">
        <w:tc>
          <w:tcPr>
            <w:tcW w:w="5000" w:type="pct"/>
          </w:tcPr>
          <w:p w:rsidR="003C5585" w:rsidRPr="00FE23C2" w:rsidRDefault="003C5585" w:rsidP="00E2061F">
            <w:pPr>
              <w:pStyle w:val="Default"/>
              <w:jc w:val="center"/>
              <w:rPr>
                <w:rFonts w:ascii="Tahoma" w:hAnsi="Tahoma" w:cs="Tahoma"/>
                <w:color w:val="auto"/>
                <w:sz w:val="22"/>
                <w:szCs w:val="22"/>
              </w:rPr>
            </w:pPr>
            <w:r w:rsidRPr="00FE23C2">
              <w:rPr>
                <w:rFonts w:ascii="Tahoma" w:hAnsi="Tahoma" w:cs="Tahoma"/>
                <w:b/>
                <w:bCs/>
                <w:color w:val="auto"/>
                <w:sz w:val="22"/>
                <w:szCs w:val="22"/>
              </w:rPr>
              <w:t>CAPÍTULO I</w:t>
            </w:r>
          </w:p>
          <w:p w:rsidR="003C5585" w:rsidRPr="00FE23C2" w:rsidRDefault="003C5585" w:rsidP="00E2061F">
            <w:pPr>
              <w:pStyle w:val="Default"/>
              <w:jc w:val="center"/>
              <w:rPr>
                <w:rFonts w:ascii="Tahoma" w:hAnsi="Tahoma" w:cs="Tahoma"/>
                <w:color w:val="auto"/>
                <w:sz w:val="22"/>
                <w:szCs w:val="22"/>
              </w:rPr>
            </w:pPr>
            <w:r w:rsidRPr="00FE23C2">
              <w:rPr>
                <w:rFonts w:ascii="Tahoma" w:hAnsi="Tahoma" w:cs="Tahoma"/>
                <w:b/>
                <w:bCs/>
                <w:color w:val="auto"/>
                <w:sz w:val="22"/>
                <w:szCs w:val="22"/>
              </w:rPr>
              <w:t>De los Principios Generales</w:t>
            </w:r>
          </w:p>
          <w:p w:rsidR="003C5585" w:rsidRPr="00FE23C2" w:rsidRDefault="003C5585" w:rsidP="00E2061F">
            <w:pPr>
              <w:pStyle w:val="Default"/>
              <w:jc w:val="center"/>
              <w:rPr>
                <w:rFonts w:ascii="Tahoma" w:hAnsi="Tahoma" w:cs="Tahoma"/>
                <w:b/>
                <w:bCs/>
                <w:color w:val="auto"/>
                <w:sz w:val="22"/>
                <w:szCs w:val="22"/>
              </w:rPr>
            </w:pPr>
          </w:p>
          <w:p w:rsidR="003C5585" w:rsidRPr="00FE23C2" w:rsidRDefault="003C5585" w:rsidP="00E2061F">
            <w:pPr>
              <w:pStyle w:val="Default"/>
              <w:rPr>
                <w:rFonts w:ascii="Tahoma" w:hAnsi="Tahoma" w:cs="Tahoma"/>
                <w:color w:val="auto"/>
                <w:sz w:val="22"/>
                <w:szCs w:val="22"/>
              </w:rPr>
            </w:pPr>
            <w:r w:rsidRPr="00FE23C2">
              <w:rPr>
                <w:rFonts w:ascii="Tahoma" w:hAnsi="Tahoma" w:cs="Tahoma"/>
                <w:b/>
                <w:bCs/>
                <w:color w:val="auto"/>
                <w:sz w:val="22"/>
                <w:szCs w:val="22"/>
              </w:rPr>
              <w:t xml:space="preserve">Artículo 5.- </w:t>
            </w:r>
            <w:r w:rsidRPr="00FE23C2">
              <w:rPr>
                <w:rFonts w:ascii="Tahoma" w:hAnsi="Tahoma" w:cs="Tahoma"/>
                <w:color w:val="auto"/>
                <w:sz w:val="22"/>
                <w:szCs w:val="22"/>
              </w:rPr>
              <w:t>La Política Estatal de Vivienda, para dar cumplimiento al objeto de esta Ley, considerará:</w:t>
            </w: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hAnsi="Tahoma" w:cs="Tahoma"/>
                <w:b/>
                <w:bCs/>
                <w:color w:val="auto"/>
                <w:sz w:val="22"/>
                <w:szCs w:val="22"/>
              </w:rPr>
            </w:pPr>
            <w:r w:rsidRPr="00FE23C2">
              <w:rPr>
                <w:rFonts w:ascii="Tahoma" w:hAnsi="Tahoma" w:cs="Tahoma"/>
                <w:b/>
                <w:bCs/>
                <w:color w:val="auto"/>
                <w:sz w:val="22"/>
                <w:szCs w:val="22"/>
              </w:rPr>
              <w:t xml:space="preserve">VI.- </w:t>
            </w:r>
            <w:r w:rsidRPr="00FE23C2">
              <w:rPr>
                <w:rFonts w:ascii="Tahoma" w:hAnsi="Tahoma" w:cs="Tahoma"/>
                <w:color w:val="auto"/>
                <w:sz w:val="22"/>
                <w:szCs w:val="22"/>
              </w:rPr>
              <w:t xml:space="preserve">La construcción o adquisición de unidades, lotes con servicios o conjuntos habitacionales administrados por el Gobierno del Estado, destinados a otorgar en arrendamiento a los particulares </w:t>
            </w:r>
            <w:r w:rsidRPr="00FE23C2">
              <w:rPr>
                <w:rFonts w:ascii="Tahoma" w:hAnsi="Tahoma" w:cs="Tahoma"/>
                <w:b/>
                <w:color w:val="auto"/>
                <w:sz w:val="22"/>
                <w:szCs w:val="22"/>
              </w:rPr>
              <w:t>con un criterio de asequibilidad para las personas de menores ingresos</w:t>
            </w:r>
            <w:r w:rsidRPr="00FE23C2">
              <w:rPr>
                <w:rFonts w:ascii="Tahoma" w:hAnsi="Tahoma" w:cs="Tahoma"/>
                <w:color w:val="auto"/>
                <w:sz w:val="22"/>
                <w:szCs w:val="22"/>
              </w:rPr>
              <w:t>;</w:t>
            </w:r>
          </w:p>
        </w:tc>
      </w:tr>
      <w:tr w:rsidR="003C5585" w:rsidRPr="00FE23C2" w:rsidTr="00DC6D1E">
        <w:tc>
          <w:tcPr>
            <w:tcW w:w="5000" w:type="pct"/>
          </w:tcPr>
          <w:p w:rsidR="003C5585" w:rsidRPr="00FE23C2" w:rsidRDefault="003C5585" w:rsidP="00E2061F">
            <w:pPr>
              <w:autoSpaceDE w:val="0"/>
              <w:autoSpaceDN w:val="0"/>
              <w:adjustRightInd w:val="0"/>
              <w:ind w:firstLine="0"/>
              <w:jc w:val="center"/>
              <w:rPr>
                <w:rFonts w:ascii="Tahoma" w:hAnsi="Tahoma" w:cs="Tahoma"/>
                <w:kern w:val="0"/>
                <w:sz w:val="22"/>
                <w:szCs w:val="22"/>
                <w:lang w:val="es-MX"/>
              </w:rPr>
            </w:pPr>
            <w:r w:rsidRPr="00FE23C2">
              <w:rPr>
                <w:rFonts w:ascii="Tahoma" w:hAnsi="Tahoma" w:cs="Tahoma"/>
                <w:b/>
                <w:bCs/>
                <w:kern w:val="0"/>
                <w:sz w:val="22"/>
                <w:szCs w:val="22"/>
                <w:lang w:val="es-MX"/>
              </w:rPr>
              <w:t>CAPÍTULO I</w:t>
            </w:r>
          </w:p>
          <w:p w:rsidR="003C5585" w:rsidRPr="00FE23C2" w:rsidRDefault="003C5585" w:rsidP="00E2061F">
            <w:pPr>
              <w:pStyle w:val="Default"/>
              <w:jc w:val="center"/>
              <w:rPr>
                <w:rFonts w:ascii="Tahoma" w:hAnsi="Tahoma" w:cs="Tahoma"/>
                <w:b/>
                <w:bCs/>
                <w:color w:val="auto"/>
                <w:sz w:val="22"/>
                <w:szCs w:val="22"/>
              </w:rPr>
            </w:pPr>
            <w:r w:rsidRPr="00FE23C2">
              <w:rPr>
                <w:rFonts w:ascii="Tahoma" w:hAnsi="Tahoma" w:cs="Tahoma"/>
                <w:b/>
                <w:bCs/>
                <w:color w:val="auto"/>
                <w:sz w:val="22"/>
                <w:szCs w:val="22"/>
              </w:rPr>
              <w:t>Del Consejo Estatal de Vivienda</w:t>
            </w:r>
          </w:p>
          <w:p w:rsidR="003C5585" w:rsidRPr="00FE23C2" w:rsidRDefault="003C5585" w:rsidP="00E2061F">
            <w:pPr>
              <w:pStyle w:val="Default"/>
              <w:jc w:val="center"/>
              <w:rPr>
                <w:rFonts w:ascii="Tahoma" w:hAnsi="Tahoma" w:cs="Tahoma"/>
                <w:b/>
                <w:bCs/>
                <w:color w:val="auto"/>
                <w:sz w:val="22"/>
                <w:szCs w:val="22"/>
              </w:rPr>
            </w:pPr>
          </w:p>
          <w:p w:rsidR="003C5585" w:rsidRPr="00FE23C2" w:rsidRDefault="003C5585" w:rsidP="00E2061F">
            <w:pPr>
              <w:pStyle w:val="Default"/>
              <w:rPr>
                <w:rFonts w:ascii="Tahoma" w:hAnsi="Tahoma" w:cs="Tahoma"/>
                <w:color w:val="auto"/>
                <w:sz w:val="22"/>
                <w:szCs w:val="22"/>
              </w:rPr>
            </w:pPr>
            <w:r w:rsidRPr="00FE23C2">
              <w:rPr>
                <w:rFonts w:ascii="Tahoma" w:hAnsi="Tahoma" w:cs="Tahoma"/>
                <w:b/>
                <w:bCs/>
                <w:color w:val="auto"/>
                <w:sz w:val="22"/>
                <w:szCs w:val="22"/>
              </w:rPr>
              <w:t xml:space="preserve">Artículo 15.- </w:t>
            </w:r>
            <w:r w:rsidRPr="00FE23C2">
              <w:rPr>
                <w:rFonts w:ascii="Tahoma" w:hAnsi="Tahoma" w:cs="Tahoma"/>
                <w:color w:val="auto"/>
                <w:sz w:val="22"/>
                <w:szCs w:val="22"/>
              </w:rPr>
              <w:t>El Consejo tendrá las siguientes atribuciones:</w:t>
            </w: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hAnsi="Tahoma" w:cs="Tahoma"/>
                <w:color w:val="auto"/>
                <w:sz w:val="22"/>
                <w:szCs w:val="22"/>
              </w:rPr>
            </w:pPr>
            <w:r w:rsidRPr="00FE23C2">
              <w:rPr>
                <w:rFonts w:ascii="Tahoma" w:hAnsi="Tahoma" w:cs="Tahoma"/>
                <w:color w:val="auto"/>
                <w:sz w:val="22"/>
                <w:szCs w:val="22"/>
              </w:rPr>
              <w:t>De la I a la III. …</w:t>
            </w: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eastAsia="Arial" w:hAnsi="Tahoma" w:cs="Tahoma"/>
                <w:b/>
                <w:bCs/>
                <w:color w:val="auto"/>
                <w:sz w:val="22"/>
                <w:szCs w:val="22"/>
              </w:rPr>
            </w:pPr>
            <w:r w:rsidRPr="00FE23C2">
              <w:rPr>
                <w:rFonts w:ascii="Tahoma" w:hAnsi="Tahoma" w:cs="Tahoma"/>
                <w:b/>
                <w:color w:val="auto"/>
                <w:sz w:val="22"/>
                <w:szCs w:val="22"/>
              </w:rPr>
              <w:t xml:space="preserve">III Bis. </w:t>
            </w:r>
            <w:r w:rsidRPr="00FE23C2">
              <w:rPr>
                <w:rFonts w:ascii="Tahoma" w:eastAsia="Arial" w:hAnsi="Tahoma" w:cs="Tahoma"/>
                <w:b/>
                <w:bCs/>
                <w:color w:val="auto"/>
                <w:sz w:val="22"/>
                <w:szCs w:val="22"/>
              </w:rPr>
              <w:t xml:space="preserve">Impulsar iniciativas y sugerir proyectos para la creación y el desarrollo de viviendas en alquiler accesibles para aquellas personas con menores ingresos. </w:t>
            </w:r>
          </w:p>
          <w:p w:rsidR="003C5585" w:rsidRPr="00FE23C2" w:rsidRDefault="003C5585" w:rsidP="00E2061F">
            <w:pPr>
              <w:pStyle w:val="Default"/>
              <w:rPr>
                <w:rFonts w:ascii="Tahoma" w:eastAsia="Arial" w:hAnsi="Tahoma" w:cs="Tahoma"/>
                <w:b/>
                <w:bCs/>
                <w:color w:val="auto"/>
                <w:sz w:val="22"/>
                <w:szCs w:val="22"/>
              </w:rPr>
            </w:pPr>
          </w:p>
          <w:p w:rsidR="003C5585" w:rsidRPr="00FE23C2" w:rsidRDefault="003C5585" w:rsidP="00E2061F">
            <w:pPr>
              <w:pStyle w:val="Default"/>
              <w:rPr>
                <w:rFonts w:ascii="Tahoma" w:hAnsi="Tahoma" w:cs="Tahoma"/>
                <w:bCs/>
                <w:color w:val="auto"/>
                <w:sz w:val="22"/>
                <w:szCs w:val="22"/>
              </w:rPr>
            </w:pPr>
            <w:r w:rsidRPr="00FE23C2">
              <w:rPr>
                <w:rFonts w:ascii="Tahoma" w:eastAsia="Arial" w:hAnsi="Tahoma" w:cs="Tahoma"/>
                <w:bCs/>
                <w:color w:val="auto"/>
                <w:sz w:val="22"/>
                <w:szCs w:val="22"/>
              </w:rPr>
              <w:t>De la IV a la VII. …</w:t>
            </w:r>
          </w:p>
        </w:tc>
      </w:tr>
      <w:tr w:rsidR="003C5585" w:rsidRPr="00FE23C2" w:rsidTr="00DC6D1E">
        <w:tc>
          <w:tcPr>
            <w:tcW w:w="5000" w:type="pct"/>
          </w:tcPr>
          <w:p w:rsidR="003C5585" w:rsidRPr="00FE23C2" w:rsidRDefault="003C5585" w:rsidP="00E2061F">
            <w:pPr>
              <w:autoSpaceDE w:val="0"/>
              <w:autoSpaceDN w:val="0"/>
              <w:adjustRightInd w:val="0"/>
              <w:ind w:firstLine="0"/>
              <w:jc w:val="center"/>
              <w:rPr>
                <w:rFonts w:ascii="Tahoma" w:hAnsi="Tahoma" w:cs="Tahoma"/>
                <w:kern w:val="0"/>
                <w:sz w:val="22"/>
                <w:szCs w:val="22"/>
                <w:lang w:val="es-MX"/>
              </w:rPr>
            </w:pPr>
            <w:r w:rsidRPr="00FE23C2">
              <w:rPr>
                <w:rFonts w:ascii="Tahoma" w:hAnsi="Tahoma" w:cs="Tahoma"/>
                <w:b/>
                <w:bCs/>
                <w:kern w:val="0"/>
                <w:sz w:val="22"/>
                <w:szCs w:val="22"/>
                <w:lang w:val="es-MX"/>
              </w:rPr>
              <w:t>CAPÍTULO IV</w:t>
            </w:r>
          </w:p>
          <w:p w:rsidR="003C5585" w:rsidRPr="00FE23C2" w:rsidRDefault="003C5585" w:rsidP="00E2061F">
            <w:pPr>
              <w:pStyle w:val="Default"/>
              <w:jc w:val="center"/>
              <w:rPr>
                <w:rFonts w:ascii="Tahoma" w:hAnsi="Tahoma" w:cs="Tahoma"/>
                <w:b/>
                <w:bCs/>
                <w:color w:val="auto"/>
                <w:sz w:val="22"/>
                <w:szCs w:val="22"/>
              </w:rPr>
            </w:pPr>
            <w:r w:rsidRPr="00FE23C2">
              <w:rPr>
                <w:rFonts w:ascii="Tahoma" w:hAnsi="Tahoma" w:cs="Tahoma"/>
                <w:b/>
                <w:bCs/>
                <w:color w:val="auto"/>
                <w:sz w:val="22"/>
                <w:szCs w:val="22"/>
              </w:rPr>
              <w:t>Del Instituto de Vivienda del Estado de Yucatán</w:t>
            </w:r>
          </w:p>
          <w:p w:rsidR="003C5585" w:rsidRPr="00FE23C2" w:rsidRDefault="003C5585" w:rsidP="00E2061F">
            <w:pPr>
              <w:pStyle w:val="Default"/>
              <w:jc w:val="center"/>
              <w:rPr>
                <w:rFonts w:ascii="Tahoma" w:hAnsi="Tahoma" w:cs="Tahoma"/>
                <w:b/>
                <w:bCs/>
                <w:color w:val="auto"/>
                <w:sz w:val="22"/>
                <w:szCs w:val="22"/>
              </w:rPr>
            </w:pPr>
          </w:p>
          <w:p w:rsidR="003C5585" w:rsidRPr="00FE23C2" w:rsidRDefault="003C5585" w:rsidP="00E2061F">
            <w:pPr>
              <w:pStyle w:val="Default"/>
              <w:rPr>
                <w:rFonts w:ascii="Tahoma" w:hAnsi="Tahoma" w:cs="Tahoma"/>
                <w:color w:val="auto"/>
                <w:sz w:val="22"/>
                <w:szCs w:val="22"/>
              </w:rPr>
            </w:pPr>
            <w:r w:rsidRPr="00FE23C2">
              <w:rPr>
                <w:rFonts w:ascii="Tahoma" w:hAnsi="Tahoma" w:cs="Tahoma"/>
                <w:b/>
                <w:bCs/>
                <w:color w:val="auto"/>
                <w:sz w:val="22"/>
                <w:szCs w:val="22"/>
              </w:rPr>
              <w:t xml:space="preserve">Artículo 22.- </w:t>
            </w:r>
            <w:r w:rsidRPr="00FE23C2">
              <w:rPr>
                <w:rFonts w:ascii="Tahoma" w:hAnsi="Tahoma" w:cs="Tahoma"/>
                <w:color w:val="auto"/>
                <w:sz w:val="22"/>
                <w:szCs w:val="22"/>
              </w:rPr>
              <w:t>Para los efectos de esta Ley, el Instituto tendrá las siguientes atribuciones:</w:t>
            </w:r>
          </w:p>
          <w:p w:rsidR="003C5585" w:rsidRPr="00FE23C2" w:rsidRDefault="003C5585" w:rsidP="00E2061F">
            <w:pPr>
              <w:pStyle w:val="Default"/>
              <w:rPr>
                <w:rFonts w:ascii="Tahoma" w:hAnsi="Tahoma" w:cs="Tahoma"/>
                <w:color w:val="auto"/>
                <w:sz w:val="22"/>
                <w:szCs w:val="22"/>
              </w:rPr>
            </w:pPr>
          </w:p>
          <w:p w:rsidR="003C5585" w:rsidRPr="00FE23C2" w:rsidRDefault="003C5585" w:rsidP="00E2061F">
            <w:pPr>
              <w:pStyle w:val="Default"/>
              <w:rPr>
                <w:rFonts w:ascii="Tahoma" w:hAnsi="Tahoma" w:cs="Tahoma"/>
                <w:b/>
                <w:bCs/>
                <w:color w:val="auto"/>
                <w:sz w:val="22"/>
                <w:szCs w:val="22"/>
              </w:rPr>
            </w:pPr>
            <w:r w:rsidRPr="00FE23C2">
              <w:rPr>
                <w:rFonts w:ascii="Tahoma" w:hAnsi="Tahoma" w:cs="Tahoma"/>
                <w:b/>
                <w:bCs/>
                <w:color w:val="auto"/>
                <w:sz w:val="22"/>
                <w:szCs w:val="22"/>
              </w:rPr>
              <w:t xml:space="preserve">I.- </w:t>
            </w:r>
            <w:r w:rsidRPr="00FE23C2">
              <w:rPr>
                <w:rFonts w:ascii="Tahoma" w:hAnsi="Tahoma" w:cs="Tahoma"/>
                <w:color w:val="auto"/>
                <w:sz w:val="22"/>
                <w:szCs w:val="22"/>
              </w:rPr>
              <w:t xml:space="preserve">Ejecutar, coordinar, impulsar y dar seguimiento a los programas de construcción, adquisición, mejoramiento y financiamiento de la vivienda en sus diferentes modalidades como la autoconstrucción, arrendamiento </w:t>
            </w:r>
            <w:r w:rsidRPr="00FE23C2">
              <w:rPr>
                <w:rFonts w:ascii="Tahoma" w:eastAsia="Arial" w:hAnsi="Tahoma" w:cs="Tahoma"/>
                <w:b/>
                <w:bCs/>
                <w:color w:val="auto"/>
                <w:sz w:val="22"/>
                <w:szCs w:val="22"/>
              </w:rPr>
              <w:t>asequible para las personas de menores ingresos</w:t>
            </w:r>
            <w:r w:rsidRPr="00FE23C2">
              <w:rPr>
                <w:rFonts w:ascii="Tahoma" w:eastAsia="Arial" w:hAnsi="Tahoma" w:cs="Tahoma"/>
                <w:bCs/>
                <w:color w:val="auto"/>
                <w:sz w:val="22"/>
                <w:szCs w:val="22"/>
              </w:rPr>
              <w:t xml:space="preserve"> </w:t>
            </w:r>
            <w:r w:rsidRPr="00FE23C2">
              <w:rPr>
                <w:rFonts w:ascii="Tahoma" w:hAnsi="Tahoma" w:cs="Tahoma"/>
                <w:color w:val="auto"/>
                <w:sz w:val="22"/>
                <w:szCs w:val="22"/>
              </w:rPr>
              <w:t>y lotes con servicios, o cualquier otro programa de vivienda, con particular atención a las necesidades de los grupos en situación de vulnerabilidad;</w:t>
            </w:r>
          </w:p>
        </w:tc>
      </w:tr>
      <w:tr w:rsidR="003C5585" w:rsidRPr="00FE23C2" w:rsidTr="00DC6D1E">
        <w:tc>
          <w:tcPr>
            <w:tcW w:w="5000" w:type="pct"/>
          </w:tcPr>
          <w:p w:rsidR="00DC6D1E" w:rsidRDefault="00DC6D1E" w:rsidP="00E2061F">
            <w:pPr>
              <w:autoSpaceDE w:val="0"/>
              <w:autoSpaceDN w:val="0"/>
              <w:adjustRightInd w:val="0"/>
              <w:ind w:firstLine="0"/>
              <w:jc w:val="center"/>
              <w:rPr>
                <w:rFonts w:ascii="Tahoma" w:hAnsi="Tahoma" w:cs="Tahoma"/>
                <w:b/>
                <w:bCs/>
                <w:kern w:val="0"/>
                <w:sz w:val="22"/>
                <w:szCs w:val="22"/>
                <w:lang w:val="es-MX"/>
              </w:rPr>
            </w:pPr>
          </w:p>
          <w:p w:rsidR="00DC6D1E" w:rsidRDefault="00DC6D1E" w:rsidP="00E2061F">
            <w:pPr>
              <w:autoSpaceDE w:val="0"/>
              <w:autoSpaceDN w:val="0"/>
              <w:adjustRightInd w:val="0"/>
              <w:ind w:firstLine="0"/>
              <w:jc w:val="center"/>
              <w:rPr>
                <w:rFonts w:ascii="Tahoma" w:hAnsi="Tahoma" w:cs="Tahoma"/>
                <w:b/>
                <w:bCs/>
                <w:kern w:val="0"/>
                <w:sz w:val="22"/>
                <w:szCs w:val="22"/>
                <w:lang w:val="es-MX"/>
              </w:rPr>
            </w:pPr>
          </w:p>
          <w:p w:rsidR="003C5585" w:rsidRPr="00FE23C2" w:rsidRDefault="003C5585" w:rsidP="00E2061F">
            <w:pPr>
              <w:autoSpaceDE w:val="0"/>
              <w:autoSpaceDN w:val="0"/>
              <w:adjustRightInd w:val="0"/>
              <w:ind w:firstLine="0"/>
              <w:jc w:val="center"/>
              <w:rPr>
                <w:rFonts w:ascii="Tahoma" w:hAnsi="Tahoma" w:cs="Tahoma"/>
                <w:b/>
                <w:kern w:val="0"/>
                <w:sz w:val="22"/>
                <w:szCs w:val="22"/>
                <w:lang w:val="es-MX"/>
              </w:rPr>
            </w:pPr>
            <w:r w:rsidRPr="00FE23C2">
              <w:rPr>
                <w:rFonts w:ascii="Tahoma" w:hAnsi="Tahoma" w:cs="Tahoma"/>
                <w:b/>
                <w:bCs/>
                <w:kern w:val="0"/>
                <w:sz w:val="22"/>
                <w:szCs w:val="22"/>
                <w:lang w:val="es-MX"/>
              </w:rPr>
              <w:t>TÍTULO SÉPTIMO</w:t>
            </w:r>
          </w:p>
          <w:p w:rsidR="003C5585" w:rsidRPr="00FE23C2" w:rsidRDefault="003C5585" w:rsidP="00E2061F">
            <w:pPr>
              <w:autoSpaceDE w:val="0"/>
              <w:autoSpaceDN w:val="0"/>
              <w:adjustRightInd w:val="0"/>
              <w:ind w:firstLine="0"/>
              <w:jc w:val="center"/>
              <w:rPr>
                <w:rFonts w:ascii="Tahoma" w:hAnsi="Tahoma" w:cs="Tahoma"/>
                <w:b/>
                <w:kern w:val="0"/>
                <w:sz w:val="22"/>
                <w:szCs w:val="22"/>
                <w:lang w:val="es-MX"/>
              </w:rPr>
            </w:pPr>
            <w:r w:rsidRPr="00FE23C2">
              <w:rPr>
                <w:rFonts w:ascii="Tahoma" w:hAnsi="Tahoma" w:cs="Tahoma"/>
                <w:b/>
                <w:bCs/>
                <w:kern w:val="0"/>
                <w:sz w:val="22"/>
                <w:szCs w:val="22"/>
                <w:lang w:val="es-MX"/>
              </w:rPr>
              <w:t>COORDINACIÓN Y CONCERTACIÓN CON LOS SECTORES</w:t>
            </w:r>
          </w:p>
          <w:p w:rsidR="003C5585" w:rsidRPr="00FE23C2" w:rsidRDefault="003C5585" w:rsidP="00E2061F">
            <w:pPr>
              <w:autoSpaceDE w:val="0"/>
              <w:autoSpaceDN w:val="0"/>
              <w:adjustRightInd w:val="0"/>
              <w:ind w:firstLine="0"/>
              <w:jc w:val="center"/>
              <w:rPr>
                <w:rFonts w:ascii="Tahoma" w:hAnsi="Tahoma" w:cs="Tahoma"/>
                <w:b/>
                <w:kern w:val="0"/>
                <w:sz w:val="22"/>
                <w:szCs w:val="22"/>
                <w:lang w:val="es-MX"/>
              </w:rPr>
            </w:pPr>
            <w:r w:rsidRPr="00FE23C2">
              <w:rPr>
                <w:rFonts w:ascii="Tahoma" w:hAnsi="Tahoma" w:cs="Tahoma"/>
                <w:b/>
                <w:bCs/>
                <w:kern w:val="0"/>
                <w:sz w:val="22"/>
                <w:szCs w:val="22"/>
                <w:lang w:val="es-MX"/>
              </w:rPr>
              <w:t>PÚBLICO, SOCIAL Y PRIVADO</w:t>
            </w:r>
          </w:p>
          <w:p w:rsidR="003C5585" w:rsidRPr="00FE23C2" w:rsidRDefault="003C5585" w:rsidP="00E2061F">
            <w:pPr>
              <w:autoSpaceDE w:val="0"/>
              <w:autoSpaceDN w:val="0"/>
              <w:adjustRightInd w:val="0"/>
              <w:ind w:firstLine="0"/>
              <w:jc w:val="center"/>
              <w:rPr>
                <w:rFonts w:ascii="Tahoma" w:hAnsi="Tahoma" w:cs="Tahoma"/>
                <w:b/>
                <w:kern w:val="0"/>
                <w:sz w:val="22"/>
                <w:szCs w:val="22"/>
                <w:lang w:val="es-MX"/>
              </w:rPr>
            </w:pPr>
            <w:r w:rsidRPr="00FE23C2">
              <w:rPr>
                <w:rFonts w:ascii="Tahoma" w:hAnsi="Tahoma" w:cs="Tahoma"/>
                <w:b/>
                <w:i/>
                <w:iCs/>
                <w:kern w:val="0"/>
                <w:sz w:val="22"/>
                <w:szCs w:val="22"/>
                <w:lang w:val="es-MX"/>
              </w:rPr>
              <w:t xml:space="preserve"> </w:t>
            </w:r>
          </w:p>
          <w:p w:rsidR="003C5585" w:rsidRPr="00FE23C2" w:rsidRDefault="003C5585" w:rsidP="00E2061F">
            <w:pPr>
              <w:autoSpaceDE w:val="0"/>
              <w:autoSpaceDN w:val="0"/>
              <w:adjustRightInd w:val="0"/>
              <w:ind w:firstLine="0"/>
              <w:jc w:val="center"/>
              <w:rPr>
                <w:rFonts w:ascii="Tahoma" w:hAnsi="Tahoma" w:cs="Tahoma"/>
                <w:b/>
                <w:kern w:val="0"/>
                <w:sz w:val="22"/>
                <w:szCs w:val="22"/>
                <w:lang w:val="es-MX"/>
              </w:rPr>
            </w:pPr>
            <w:r w:rsidRPr="00FE23C2">
              <w:rPr>
                <w:rFonts w:ascii="Tahoma" w:hAnsi="Tahoma" w:cs="Tahoma"/>
                <w:b/>
                <w:bCs/>
                <w:kern w:val="0"/>
                <w:sz w:val="22"/>
                <w:szCs w:val="22"/>
                <w:lang w:val="es-MX"/>
              </w:rPr>
              <w:t>CAPÍTULO ÚNICO</w:t>
            </w:r>
          </w:p>
          <w:p w:rsidR="003C5585" w:rsidRPr="00FE23C2" w:rsidRDefault="003C5585" w:rsidP="00E2061F">
            <w:pPr>
              <w:autoSpaceDE w:val="0"/>
              <w:autoSpaceDN w:val="0"/>
              <w:adjustRightInd w:val="0"/>
              <w:ind w:firstLine="0"/>
              <w:jc w:val="center"/>
              <w:rPr>
                <w:rFonts w:ascii="Tahoma" w:hAnsi="Tahoma" w:cs="Tahoma"/>
                <w:b/>
                <w:bCs/>
                <w:kern w:val="0"/>
                <w:sz w:val="22"/>
                <w:szCs w:val="22"/>
                <w:lang w:val="es-MX"/>
              </w:rPr>
            </w:pPr>
            <w:r w:rsidRPr="00FE23C2">
              <w:rPr>
                <w:rFonts w:ascii="Tahoma" w:hAnsi="Tahoma" w:cs="Tahoma"/>
                <w:b/>
                <w:bCs/>
                <w:kern w:val="0"/>
                <w:sz w:val="22"/>
                <w:szCs w:val="22"/>
                <w:lang w:val="es-MX"/>
              </w:rPr>
              <w:t>Disposiciones Generales</w:t>
            </w:r>
          </w:p>
          <w:p w:rsidR="003C5585" w:rsidRPr="00FE23C2" w:rsidRDefault="003C5585" w:rsidP="00E2061F">
            <w:pPr>
              <w:autoSpaceDE w:val="0"/>
              <w:autoSpaceDN w:val="0"/>
              <w:adjustRightInd w:val="0"/>
              <w:ind w:firstLine="0"/>
              <w:rPr>
                <w:rFonts w:ascii="Tahoma" w:hAnsi="Tahoma" w:cs="Tahoma"/>
                <w:b/>
                <w:bCs/>
                <w:kern w:val="0"/>
                <w:sz w:val="22"/>
                <w:szCs w:val="22"/>
                <w:lang w:val="es-MX"/>
              </w:rPr>
            </w:pPr>
          </w:p>
          <w:p w:rsidR="003C5585" w:rsidRPr="00FE23C2" w:rsidRDefault="003C5585" w:rsidP="00E2061F">
            <w:pPr>
              <w:autoSpaceDE w:val="0"/>
              <w:autoSpaceDN w:val="0"/>
              <w:adjustRightInd w:val="0"/>
              <w:ind w:firstLine="0"/>
              <w:rPr>
                <w:rFonts w:ascii="Tahoma" w:hAnsi="Tahoma" w:cs="Tahoma"/>
                <w:b/>
                <w:kern w:val="0"/>
                <w:sz w:val="22"/>
                <w:szCs w:val="22"/>
                <w:lang w:val="es-MX"/>
              </w:rPr>
            </w:pPr>
            <w:r w:rsidRPr="00FE23C2">
              <w:rPr>
                <w:rFonts w:ascii="Tahoma" w:hAnsi="Tahoma" w:cs="Tahoma"/>
                <w:b/>
                <w:bCs/>
                <w:kern w:val="0"/>
                <w:sz w:val="22"/>
                <w:szCs w:val="22"/>
                <w:lang w:val="es-MX"/>
              </w:rPr>
              <w:t xml:space="preserve">Artículo 73.- </w:t>
            </w:r>
            <w:r w:rsidRPr="00FE23C2">
              <w:rPr>
                <w:rFonts w:ascii="Tahoma" w:hAnsi="Tahoma" w:cs="Tahoma"/>
                <w:b/>
                <w:kern w:val="0"/>
                <w:sz w:val="22"/>
                <w:szCs w:val="22"/>
                <w:lang w:val="es-MX"/>
              </w:rPr>
              <w:t xml:space="preserve">El Instituto, en coordinación con el Comité, celebrará convenios con los diferentes sectores de la sociedad, orientados a la investigación, asesoría y soporte técnico en materia de vivienda. </w:t>
            </w:r>
          </w:p>
          <w:p w:rsidR="003C5585" w:rsidRPr="00FE23C2" w:rsidRDefault="003C5585" w:rsidP="00E2061F">
            <w:pPr>
              <w:autoSpaceDE w:val="0"/>
              <w:autoSpaceDN w:val="0"/>
              <w:adjustRightInd w:val="0"/>
              <w:ind w:firstLine="0"/>
              <w:rPr>
                <w:rFonts w:ascii="Tahoma" w:hAnsi="Tahoma" w:cs="Tahoma"/>
                <w:b/>
                <w:kern w:val="0"/>
                <w:sz w:val="22"/>
                <w:szCs w:val="22"/>
                <w:lang w:val="es-MX"/>
              </w:rPr>
            </w:pPr>
          </w:p>
          <w:p w:rsidR="003C5585" w:rsidRPr="00FE23C2" w:rsidRDefault="003C5585" w:rsidP="00E2061F">
            <w:pPr>
              <w:pStyle w:val="Default"/>
              <w:rPr>
                <w:rFonts w:ascii="Tahoma" w:hAnsi="Tahoma" w:cs="Tahoma"/>
                <w:b/>
                <w:color w:val="auto"/>
                <w:sz w:val="22"/>
                <w:szCs w:val="22"/>
              </w:rPr>
            </w:pPr>
            <w:r w:rsidRPr="00FE23C2">
              <w:rPr>
                <w:rFonts w:ascii="Tahoma" w:hAnsi="Tahoma" w:cs="Tahoma"/>
                <w:b/>
                <w:color w:val="auto"/>
                <w:sz w:val="22"/>
                <w:szCs w:val="22"/>
              </w:rPr>
              <w:t>Los convenios que se celebren, tendrán por objeto, principalmente, lo siguiente:</w:t>
            </w:r>
          </w:p>
          <w:p w:rsidR="003C5585" w:rsidRPr="00FE23C2" w:rsidRDefault="003C5585" w:rsidP="00E2061F">
            <w:pPr>
              <w:pStyle w:val="Default"/>
              <w:rPr>
                <w:rFonts w:ascii="Tahoma" w:hAnsi="Tahoma" w:cs="Tahoma"/>
                <w:b/>
                <w:color w:val="auto"/>
                <w:sz w:val="22"/>
                <w:szCs w:val="22"/>
              </w:rPr>
            </w:pPr>
          </w:p>
          <w:p w:rsidR="003C5585" w:rsidRPr="00FE23C2" w:rsidRDefault="003C5585" w:rsidP="00DC6D1E">
            <w:pPr>
              <w:pStyle w:val="Default"/>
              <w:numPr>
                <w:ilvl w:val="0"/>
                <w:numId w:val="15"/>
              </w:numPr>
              <w:jc w:val="both"/>
              <w:rPr>
                <w:rFonts w:ascii="Tahoma" w:hAnsi="Tahoma" w:cs="Tahoma"/>
                <w:b/>
                <w:bCs/>
                <w:color w:val="auto"/>
                <w:sz w:val="22"/>
                <w:szCs w:val="22"/>
              </w:rPr>
            </w:pPr>
            <w:r w:rsidRPr="00FE23C2">
              <w:rPr>
                <w:rFonts w:ascii="Tahoma" w:hAnsi="Tahoma" w:cs="Tahoma"/>
                <w:b/>
                <w:bCs/>
                <w:color w:val="auto"/>
                <w:sz w:val="22"/>
                <w:szCs w:val="22"/>
              </w:rPr>
              <w:t xml:space="preserve">Buscar que más personas accedan a una vivienda apropiada, creando formas que aseguren este derecho, especialmente para aquellos en condiciones de pobreza, así como para trabajadores, personas mayores, mujeres, padres y madres solteros, personas con discapacidades, poblaciones indígenas, afromexicanas, miembros de </w:t>
            </w:r>
            <w:r w:rsidRPr="00FE23C2">
              <w:rPr>
                <w:rFonts w:ascii="Tahoma" w:eastAsia="Arial" w:hAnsi="Tahoma" w:cs="Tahoma"/>
                <w:b/>
                <w:bCs/>
                <w:color w:val="auto"/>
                <w:sz w:val="22"/>
                <w:szCs w:val="22"/>
              </w:rPr>
              <w:t xml:space="preserve">la comunidad de la diversidad sexual y de género </w:t>
            </w:r>
            <w:r w:rsidRPr="00FE23C2">
              <w:rPr>
                <w:rFonts w:ascii="Tahoma" w:hAnsi="Tahoma" w:cs="Tahoma"/>
                <w:b/>
                <w:bCs/>
                <w:color w:val="auto"/>
                <w:sz w:val="22"/>
                <w:szCs w:val="22"/>
              </w:rPr>
              <w:t>y jóvenes de entre 18 y 35 años;</w:t>
            </w:r>
          </w:p>
          <w:p w:rsidR="003C5585" w:rsidRPr="00FE23C2" w:rsidRDefault="003C5585" w:rsidP="00E2061F">
            <w:pPr>
              <w:pStyle w:val="Default"/>
              <w:ind w:left="1145"/>
              <w:rPr>
                <w:rFonts w:ascii="Tahoma" w:hAnsi="Tahoma" w:cs="Tahoma"/>
                <w:b/>
                <w:bCs/>
                <w:color w:val="auto"/>
                <w:sz w:val="22"/>
                <w:szCs w:val="22"/>
              </w:rPr>
            </w:pPr>
          </w:p>
        </w:tc>
      </w:tr>
      <w:tr w:rsidR="003C5585" w:rsidRPr="00FE23C2" w:rsidTr="00DC6D1E">
        <w:tc>
          <w:tcPr>
            <w:tcW w:w="5000" w:type="pct"/>
          </w:tcPr>
          <w:p w:rsidR="003C5585" w:rsidRPr="00FE23C2" w:rsidRDefault="003C5585" w:rsidP="00E2061F">
            <w:pPr>
              <w:pStyle w:val="Default"/>
              <w:jc w:val="center"/>
              <w:rPr>
                <w:rFonts w:ascii="Tahoma" w:hAnsi="Tahoma" w:cs="Tahoma"/>
                <w:b/>
                <w:bCs/>
                <w:color w:val="auto"/>
                <w:sz w:val="22"/>
                <w:szCs w:val="22"/>
              </w:rPr>
            </w:pPr>
          </w:p>
          <w:p w:rsidR="003C5585" w:rsidRDefault="003C5585" w:rsidP="00E2061F">
            <w:pPr>
              <w:pStyle w:val="Default"/>
              <w:jc w:val="center"/>
              <w:rPr>
                <w:rFonts w:ascii="Tahoma" w:hAnsi="Tahoma" w:cs="Tahoma"/>
                <w:b/>
                <w:bCs/>
                <w:color w:val="auto"/>
                <w:sz w:val="22"/>
                <w:szCs w:val="22"/>
              </w:rPr>
            </w:pPr>
            <w:r w:rsidRPr="00FE23C2">
              <w:rPr>
                <w:rFonts w:ascii="Tahoma" w:hAnsi="Tahoma" w:cs="Tahoma"/>
                <w:b/>
                <w:bCs/>
                <w:color w:val="auto"/>
                <w:sz w:val="22"/>
                <w:szCs w:val="22"/>
              </w:rPr>
              <w:t>CAPÍTULO V</w:t>
            </w:r>
          </w:p>
          <w:p w:rsidR="00DC6D1E" w:rsidRPr="00FE23C2" w:rsidRDefault="00DC6D1E" w:rsidP="00E2061F">
            <w:pPr>
              <w:pStyle w:val="Default"/>
              <w:jc w:val="center"/>
              <w:rPr>
                <w:rFonts w:ascii="Tahoma" w:hAnsi="Tahoma" w:cs="Tahoma"/>
                <w:b/>
                <w:bCs/>
                <w:color w:val="auto"/>
                <w:sz w:val="22"/>
                <w:szCs w:val="22"/>
              </w:rPr>
            </w:pPr>
          </w:p>
          <w:p w:rsidR="003C5585" w:rsidRPr="00FE23C2" w:rsidRDefault="003C5585" w:rsidP="00E2061F">
            <w:pPr>
              <w:tabs>
                <w:tab w:val="left" w:pos="2552"/>
              </w:tabs>
              <w:jc w:val="center"/>
              <w:rPr>
                <w:rFonts w:ascii="Tahoma" w:eastAsia="Arial" w:hAnsi="Tahoma" w:cs="Tahoma"/>
                <w:b/>
                <w:bCs/>
                <w:sz w:val="22"/>
                <w:szCs w:val="22"/>
              </w:rPr>
            </w:pPr>
            <w:r w:rsidRPr="00FE23C2">
              <w:rPr>
                <w:rFonts w:ascii="Tahoma" w:eastAsia="Arial" w:hAnsi="Tahoma" w:cs="Tahoma"/>
                <w:b/>
                <w:bCs/>
                <w:sz w:val="22"/>
                <w:szCs w:val="22"/>
              </w:rPr>
              <w:t>DE LA VIVIENDA EN ARRENDAMIENTO, DE LA VIVIENDA USADA Y DEL</w:t>
            </w:r>
          </w:p>
          <w:p w:rsidR="003C5585" w:rsidRPr="00FE23C2" w:rsidRDefault="003C5585" w:rsidP="00E2061F">
            <w:pPr>
              <w:tabs>
                <w:tab w:val="left" w:pos="2552"/>
              </w:tabs>
              <w:jc w:val="center"/>
              <w:rPr>
                <w:rFonts w:ascii="Tahoma" w:eastAsia="Arial" w:hAnsi="Tahoma" w:cs="Tahoma"/>
                <w:b/>
                <w:bCs/>
                <w:sz w:val="22"/>
                <w:szCs w:val="22"/>
              </w:rPr>
            </w:pPr>
            <w:r w:rsidRPr="00FE23C2">
              <w:rPr>
                <w:rFonts w:ascii="Tahoma" w:eastAsia="Arial" w:hAnsi="Tahoma" w:cs="Tahoma"/>
                <w:b/>
                <w:bCs/>
                <w:sz w:val="22"/>
                <w:szCs w:val="22"/>
              </w:rPr>
              <w:t>MEJORAMIENTO DE LA VIVIENDA</w:t>
            </w:r>
          </w:p>
          <w:p w:rsidR="003C5585" w:rsidRPr="00FE23C2" w:rsidRDefault="003C5585" w:rsidP="00E2061F">
            <w:pPr>
              <w:pStyle w:val="Default"/>
              <w:jc w:val="center"/>
              <w:rPr>
                <w:rFonts w:ascii="Tahoma" w:hAnsi="Tahoma" w:cs="Tahoma"/>
                <w:b/>
                <w:bCs/>
                <w:color w:val="auto"/>
                <w:sz w:val="22"/>
                <w:szCs w:val="22"/>
              </w:rPr>
            </w:pPr>
          </w:p>
          <w:p w:rsidR="003C5585" w:rsidRPr="00FE23C2" w:rsidRDefault="003C5585" w:rsidP="00E2061F">
            <w:pPr>
              <w:pStyle w:val="Default"/>
              <w:jc w:val="center"/>
              <w:rPr>
                <w:rFonts w:ascii="Tahoma" w:hAnsi="Tahoma" w:cs="Tahoma"/>
                <w:b/>
                <w:bCs/>
                <w:color w:val="auto"/>
                <w:sz w:val="22"/>
                <w:szCs w:val="22"/>
              </w:rPr>
            </w:pPr>
          </w:p>
          <w:p w:rsidR="003C5585" w:rsidRPr="00FE23C2" w:rsidRDefault="003C5585" w:rsidP="00E2061F">
            <w:pPr>
              <w:tabs>
                <w:tab w:val="left" w:pos="2552"/>
              </w:tabs>
              <w:ind w:firstLine="0"/>
              <w:rPr>
                <w:rFonts w:ascii="Tahoma" w:eastAsia="Arial" w:hAnsi="Tahoma" w:cs="Tahoma"/>
                <w:bCs/>
                <w:sz w:val="22"/>
                <w:szCs w:val="22"/>
              </w:rPr>
            </w:pPr>
            <w:r w:rsidRPr="00FE23C2">
              <w:rPr>
                <w:rFonts w:ascii="Tahoma" w:eastAsia="Arial" w:hAnsi="Tahoma" w:cs="Tahoma"/>
                <w:b/>
                <w:sz w:val="22"/>
                <w:szCs w:val="22"/>
                <w:lang w:val="es-MX"/>
              </w:rPr>
              <w:t xml:space="preserve">Artículo 62 Bis. </w:t>
            </w:r>
            <w:r w:rsidRPr="00FE23C2">
              <w:rPr>
                <w:rFonts w:ascii="Tahoma" w:eastAsia="Arial" w:hAnsi="Tahoma" w:cs="Tahoma"/>
                <w:bCs/>
                <w:sz w:val="22"/>
                <w:szCs w:val="22"/>
              </w:rPr>
              <w:t>El Gobierno del Estado, a través del consejo Estatal y/o el instituto, deberá fomentar la vivienda en arrendamiento asequible, mediante esquemas y programas dirigidos a la población vulnerable, en situación de pobreza y de menores ingresos, que contengan como mínimo:</w:t>
            </w:r>
          </w:p>
          <w:p w:rsidR="003C5585" w:rsidRPr="00FE23C2" w:rsidRDefault="003C5585" w:rsidP="00E2061F">
            <w:pPr>
              <w:pStyle w:val="Default"/>
              <w:jc w:val="center"/>
              <w:rPr>
                <w:rFonts w:ascii="Tahoma" w:hAnsi="Tahoma" w:cs="Tahoma"/>
                <w:b/>
                <w:bCs/>
                <w:color w:val="auto"/>
                <w:sz w:val="22"/>
                <w:szCs w:val="22"/>
              </w:rPr>
            </w:pPr>
          </w:p>
          <w:p w:rsidR="003C5585" w:rsidRPr="00FE23C2" w:rsidRDefault="003C5585" w:rsidP="00DC6D1E">
            <w:pPr>
              <w:pStyle w:val="Prrafodelista"/>
              <w:numPr>
                <w:ilvl w:val="0"/>
                <w:numId w:val="16"/>
              </w:numPr>
              <w:autoSpaceDE w:val="0"/>
              <w:autoSpaceDN w:val="0"/>
              <w:adjustRightInd w:val="0"/>
              <w:rPr>
                <w:rFonts w:ascii="Tahoma" w:hAnsi="Tahoma" w:cs="Tahoma"/>
                <w:kern w:val="0"/>
                <w:sz w:val="22"/>
                <w:szCs w:val="22"/>
                <w:lang w:val="es-MX"/>
              </w:rPr>
            </w:pPr>
            <w:r w:rsidRPr="00FE23C2">
              <w:rPr>
                <w:rFonts w:ascii="Tahoma" w:hAnsi="Tahoma" w:cs="Tahoma"/>
                <w:kern w:val="0"/>
                <w:sz w:val="22"/>
                <w:szCs w:val="22"/>
                <w:lang w:val="es-MX"/>
              </w:rPr>
              <w:t>Ámbito de Aplicación;</w:t>
            </w:r>
          </w:p>
          <w:p w:rsidR="003C5585" w:rsidRPr="00FE23C2" w:rsidRDefault="003C5585" w:rsidP="00DC6D1E">
            <w:pPr>
              <w:pStyle w:val="Prrafodelista"/>
              <w:numPr>
                <w:ilvl w:val="0"/>
                <w:numId w:val="16"/>
              </w:numPr>
              <w:autoSpaceDE w:val="0"/>
              <w:autoSpaceDN w:val="0"/>
              <w:adjustRightInd w:val="0"/>
              <w:rPr>
                <w:rFonts w:ascii="Tahoma" w:hAnsi="Tahoma" w:cs="Tahoma"/>
                <w:kern w:val="0"/>
                <w:sz w:val="22"/>
                <w:szCs w:val="22"/>
                <w:lang w:val="es-MX"/>
              </w:rPr>
            </w:pPr>
            <w:r w:rsidRPr="00FE23C2">
              <w:rPr>
                <w:rFonts w:ascii="Tahoma" w:hAnsi="Tahoma" w:cs="Tahoma"/>
                <w:kern w:val="0"/>
                <w:sz w:val="22"/>
                <w:szCs w:val="22"/>
                <w:lang w:val="es-MX"/>
              </w:rPr>
              <w:t>Lineamientos de Diseño;</w:t>
            </w:r>
          </w:p>
          <w:p w:rsidR="003C5585" w:rsidRPr="00FE23C2" w:rsidRDefault="003C5585" w:rsidP="00DC6D1E">
            <w:pPr>
              <w:pStyle w:val="Prrafodelista"/>
              <w:numPr>
                <w:ilvl w:val="0"/>
                <w:numId w:val="16"/>
              </w:numPr>
              <w:autoSpaceDE w:val="0"/>
              <w:autoSpaceDN w:val="0"/>
              <w:adjustRightInd w:val="0"/>
              <w:rPr>
                <w:rFonts w:ascii="Tahoma" w:hAnsi="Tahoma" w:cs="Tahoma"/>
                <w:kern w:val="0"/>
                <w:sz w:val="22"/>
                <w:szCs w:val="22"/>
                <w:lang w:val="es-MX"/>
              </w:rPr>
            </w:pPr>
            <w:r w:rsidRPr="00FE23C2">
              <w:rPr>
                <w:rFonts w:ascii="Tahoma" w:hAnsi="Tahoma" w:cs="Tahoma"/>
                <w:kern w:val="0"/>
                <w:sz w:val="22"/>
                <w:szCs w:val="22"/>
                <w:lang w:val="es-MX"/>
              </w:rPr>
              <w:t>Estímulos e Incentivos;</w:t>
            </w:r>
          </w:p>
          <w:p w:rsidR="003C5585" w:rsidRPr="00FE23C2" w:rsidRDefault="003C5585" w:rsidP="00DC6D1E">
            <w:pPr>
              <w:pStyle w:val="Prrafodelista"/>
              <w:numPr>
                <w:ilvl w:val="0"/>
                <w:numId w:val="16"/>
              </w:numPr>
              <w:autoSpaceDE w:val="0"/>
              <w:autoSpaceDN w:val="0"/>
              <w:adjustRightInd w:val="0"/>
              <w:rPr>
                <w:rFonts w:ascii="Tahoma" w:hAnsi="Tahoma" w:cs="Tahoma"/>
                <w:kern w:val="0"/>
                <w:sz w:val="22"/>
                <w:szCs w:val="22"/>
                <w:lang w:val="es-MX"/>
              </w:rPr>
            </w:pPr>
            <w:r w:rsidRPr="00FE23C2">
              <w:rPr>
                <w:rFonts w:ascii="Tahoma" w:hAnsi="Tahoma" w:cs="Tahoma"/>
                <w:kern w:val="0"/>
                <w:sz w:val="22"/>
                <w:szCs w:val="22"/>
                <w:lang w:val="es-MX"/>
              </w:rPr>
              <w:t>Procedimientos de seguimiento, control y evaluación; y</w:t>
            </w:r>
          </w:p>
          <w:p w:rsidR="003C5585" w:rsidRPr="00FE23C2" w:rsidRDefault="003C5585" w:rsidP="00DC6D1E">
            <w:pPr>
              <w:pStyle w:val="Prrafodelista"/>
              <w:numPr>
                <w:ilvl w:val="0"/>
                <w:numId w:val="16"/>
              </w:numPr>
              <w:autoSpaceDE w:val="0"/>
              <w:autoSpaceDN w:val="0"/>
              <w:adjustRightInd w:val="0"/>
              <w:rPr>
                <w:rFonts w:ascii="Tahoma" w:hAnsi="Tahoma" w:cs="Tahoma"/>
                <w:b/>
                <w:bCs/>
                <w:sz w:val="22"/>
                <w:szCs w:val="22"/>
              </w:rPr>
            </w:pPr>
            <w:r w:rsidRPr="00FE23C2">
              <w:rPr>
                <w:rFonts w:ascii="Tahoma" w:hAnsi="Tahoma" w:cs="Tahoma"/>
                <w:kern w:val="0"/>
                <w:sz w:val="22"/>
                <w:szCs w:val="22"/>
                <w:lang w:val="es-MX"/>
              </w:rPr>
              <w:t>Esquemas que garanticen la certeza jurídica de la ocupación del inmueble por parte de las y los beneficiarios.</w:t>
            </w:r>
          </w:p>
          <w:p w:rsidR="003C5585" w:rsidRPr="00FE23C2" w:rsidRDefault="003C5585" w:rsidP="00E2061F">
            <w:pPr>
              <w:pStyle w:val="Prrafodelista"/>
              <w:autoSpaceDE w:val="0"/>
              <w:autoSpaceDN w:val="0"/>
              <w:adjustRightInd w:val="0"/>
              <w:ind w:firstLine="0"/>
              <w:rPr>
                <w:rFonts w:ascii="Tahoma" w:hAnsi="Tahoma" w:cs="Tahoma"/>
                <w:b/>
                <w:bCs/>
                <w:sz w:val="22"/>
                <w:szCs w:val="22"/>
              </w:rPr>
            </w:pPr>
          </w:p>
        </w:tc>
      </w:tr>
      <w:tr w:rsidR="003C5585" w:rsidRPr="00FE23C2" w:rsidTr="00DC6D1E">
        <w:tc>
          <w:tcPr>
            <w:tcW w:w="5000" w:type="pct"/>
          </w:tcPr>
          <w:p w:rsidR="003C5585" w:rsidRPr="00FE23C2" w:rsidRDefault="003C5585" w:rsidP="00E2061F">
            <w:pPr>
              <w:tabs>
                <w:tab w:val="left" w:pos="2552"/>
              </w:tabs>
              <w:ind w:firstLine="0"/>
              <w:rPr>
                <w:rFonts w:ascii="Tahoma" w:eastAsia="Arial" w:hAnsi="Tahoma" w:cs="Tahoma"/>
                <w:b/>
                <w:sz w:val="22"/>
                <w:szCs w:val="22"/>
                <w:lang w:val="es-MX"/>
              </w:rPr>
            </w:pPr>
          </w:p>
          <w:p w:rsidR="003C5585" w:rsidRPr="00FE23C2" w:rsidRDefault="003C5585" w:rsidP="00E2061F">
            <w:pPr>
              <w:tabs>
                <w:tab w:val="left" w:pos="2552"/>
              </w:tabs>
              <w:ind w:firstLine="0"/>
              <w:rPr>
                <w:rFonts w:ascii="Tahoma" w:hAnsi="Tahoma" w:cs="Tahoma"/>
                <w:i/>
                <w:iCs/>
                <w:sz w:val="22"/>
                <w:szCs w:val="22"/>
              </w:rPr>
            </w:pPr>
            <w:r w:rsidRPr="00FE23C2">
              <w:rPr>
                <w:rFonts w:ascii="Tahoma" w:eastAsia="Arial" w:hAnsi="Tahoma" w:cs="Tahoma"/>
                <w:b/>
                <w:sz w:val="22"/>
                <w:szCs w:val="22"/>
                <w:lang w:val="es-MX"/>
              </w:rPr>
              <w:t xml:space="preserve">Artículo 62 Ter. </w:t>
            </w:r>
            <w:r w:rsidRPr="00FE23C2">
              <w:rPr>
                <w:rFonts w:ascii="Tahoma" w:eastAsia="Arial" w:hAnsi="Tahoma" w:cs="Tahoma"/>
                <w:bCs/>
                <w:sz w:val="22"/>
                <w:szCs w:val="22"/>
              </w:rPr>
              <w:t>El Gobierno del Estado, a través del instituto, promoverá la producción pública de vivienda en arrendamiento asequible para las personas de menores ingresos, además de proponer a la Secretaría de Finanzas facilidades administrativas y/o fiscales para apoyar la construcción de este tipo de vivienda conforme a los Programas Institucionales que al respecto se establezcan.</w:t>
            </w:r>
            <w:r w:rsidRPr="00FE23C2">
              <w:rPr>
                <w:rFonts w:ascii="Tahoma" w:hAnsi="Tahoma" w:cs="Tahoma"/>
                <w:i/>
                <w:iCs/>
                <w:sz w:val="22"/>
                <w:szCs w:val="22"/>
              </w:rPr>
              <w:t xml:space="preserve"> </w:t>
            </w:r>
          </w:p>
          <w:p w:rsidR="003C5585" w:rsidRPr="00FE23C2" w:rsidRDefault="003C5585" w:rsidP="00E2061F">
            <w:pPr>
              <w:pStyle w:val="Default"/>
              <w:jc w:val="center"/>
              <w:rPr>
                <w:rFonts w:ascii="Tahoma" w:hAnsi="Tahoma" w:cs="Tahoma"/>
                <w:b/>
                <w:bCs/>
                <w:color w:val="auto"/>
                <w:sz w:val="22"/>
                <w:szCs w:val="22"/>
              </w:rPr>
            </w:pPr>
          </w:p>
        </w:tc>
      </w:tr>
    </w:tbl>
    <w:p w:rsidR="00F93045" w:rsidRPr="00FE23C2" w:rsidRDefault="00F93045" w:rsidP="00DC6D1E">
      <w:pPr>
        <w:pStyle w:val="NormalWeb"/>
        <w:jc w:val="center"/>
        <w:rPr>
          <w:rFonts w:ascii="Tahoma" w:hAnsi="Tahoma" w:cs="Tahoma"/>
          <w:b/>
          <w:bCs/>
          <w:sz w:val="22"/>
          <w:szCs w:val="22"/>
        </w:rPr>
      </w:pPr>
      <w:r w:rsidRPr="00FE23C2">
        <w:rPr>
          <w:rFonts w:ascii="Tahoma" w:hAnsi="Tahoma" w:cs="Tahoma"/>
          <w:b/>
          <w:bCs/>
          <w:sz w:val="22"/>
          <w:szCs w:val="22"/>
        </w:rPr>
        <w:t>TRANSITORIOS</w:t>
      </w:r>
    </w:p>
    <w:p w:rsidR="00F93045" w:rsidRPr="00FE23C2" w:rsidRDefault="00F93045" w:rsidP="00F93045">
      <w:pPr>
        <w:pStyle w:val="NormalWeb"/>
        <w:spacing w:before="0" w:beforeAutospacing="0" w:after="0" w:afterAutospacing="0"/>
        <w:rPr>
          <w:rFonts w:ascii="Tahoma" w:hAnsi="Tahoma" w:cs="Tahoma"/>
          <w:sz w:val="22"/>
          <w:szCs w:val="22"/>
        </w:rPr>
      </w:pPr>
      <w:r w:rsidRPr="00FE23C2">
        <w:rPr>
          <w:rFonts w:ascii="Tahoma" w:hAnsi="Tahoma" w:cs="Tahoma"/>
          <w:b/>
          <w:bCs/>
          <w:sz w:val="22"/>
          <w:szCs w:val="22"/>
        </w:rPr>
        <w:t xml:space="preserve">PRIMERO.- </w:t>
      </w:r>
      <w:r w:rsidRPr="00FE23C2">
        <w:rPr>
          <w:rFonts w:ascii="Tahoma" w:hAnsi="Tahoma" w:cs="Tahoma"/>
          <w:sz w:val="22"/>
          <w:szCs w:val="22"/>
        </w:rPr>
        <w:t>Remítase a la persona titular del Poder Ejecutivo del Estado de Yucatán, para su promulgación y publicación en El Diario Oficial de Gobierno del estado de Yucatán.</w:t>
      </w:r>
    </w:p>
    <w:p w:rsidR="00F93045" w:rsidRPr="00FE23C2" w:rsidRDefault="00F93045" w:rsidP="00F93045">
      <w:pPr>
        <w:pStyle w:val="NormalWeb"/>
        <w:spacing w:before="0" w:beforeAutospacing="0" w:after="0" w:afterAutospacing="0"/>
        <w:rPr>
          <w:rFonts w:ascii="Tahoma" w:hAnsi="Tahoma" w:cs="Tahoma"/>
          <w:sz w:val="22"/>
          <w:szCs w:val="22"/>
        </w:rPr>
      </w:pPr>
    </w:p>
    <w:p w:rsidR="00F93045" w:rsidRPr="00FE23C2" w:rsidRDefault="00F93045" w:rsidP="00F93045">
      <w:pPr>
        <w:pStyle w:val="NormalWeb"/>
        <w:spacing w:before="0" w:beforeAutospacing="0" w:after="0" w:afterAutospacing="0"/>
        <w:rPr>
          <w:rFonts w:ascii="Tahoma" w:hAnsi="Tahoma" w:cs="Tahoma"/>
          <w:sz w:val="22"/>
          <w:szCs w:val="22"/>
        </w:rPr>
      </w:pPr>
      <w:r w:rsidRPr="00FE23C2">
        <w:rPr>
          <w:rFonts w:ascii="Tahoma" w:hAnsi="Tahoma" w:cs="Tahoma"/>
          <w:b/>
          <w:bCs/>
          <w:sz w:val="22"/>
          <w:szCs w:val="22"/>
        </w:rPr>
        <w:t xml:space="preserve">SEGUNDO.- </w:t>
      </w:r>
      <w:r w:rsidRPr="00FE23C2">
        <w:rPr>
          <w:rFonts w:ascii="Tahoma" w:hAnsi="Tahoma" w:cs="Tahoma"/>
          <w:sz w:val="22"/>
          <w:szCs w:val="22"/>
        </w:rPr>
        <w:t xml:space="preserve">El presente Decreto entrará en vigor al día siguiente de su publicación en El Diario Oficial de Gobierno del estado de Yucatán. </w:t>
      </w:r>
    </w:p>
    <w:p w:rsidR="003C5585" w:rsidRDefault="003C5585" w:rsidP="00DE48B5">
      <w:pPr>
        <w:ind w:firstLine="0"/>
        <w:rPr>
          <w:rFonts w:ascii="Tahoma" w:hAnsi="Tahoma" w:cs="Tahoma"/>
          <w:sz w:val="22"/>
          <w:szCs w:val="22"/>
        </w:rPr>
      </w:pPr>
    </w:p>
    <w:p w:rsidR="00E024FA" w:rsidRPr="00792FBA" w:rsidRDefault="00792FBA" w:rsidP="00DE48B5">
      <w:pPr>
        <w:ind w:firstLine="0"/>
        <w:rPr>
          <w:rFonts w:ascii="Tahoma" w:hAnsi="Tahoma" w:cs="Tahoma"/>
          <w:sz w:val="22"/>
          <w:szCs w:val="22"/>
        </w:rPr>
      </w:pPr>
      <w:r w:rsidRPr="00792FBA">
        <w:rPr>
          <w:rFonts w:ascii="Tahoma" w:hAnsi="Tahoma" w:cs="Tahoma"/>
          <w:sz w:val="22"/>
          <w:szCs w:val="22"/>
        </w:rPr>
        <w:t>Dado en el Salón de Pleno</w:t>
      </w:r>
      <w:r w:rsidR="00F07097">
        <w:rPr>
          <w:rFonts w:ascii="Tahoma" w:hAnsi="Tahoma" w:cs="Tahoma"/>
          <w:sz w:val="22"/>
          <w:szCs w:val="22"/>
        </w:rPr>
        <w:t>s</w:t>
      </w:r>
      <w:r w:rsidRPr="00792FBA">
        <w:rPr>
          <w:rFonts w:ascii="Tahoma" w:hAnsi="Tahoma" w:cs="Tahoma"/>
          <w:sz w:val="22"/>
          <w:szCs w:val="22"/>
        </w:rPr>
        <w:t xml:space="preserve"> del Poder Legislativo del Estado de Yucatán en fecha 4 de marzo de 2025.</w:t>
      </w:r>
    </w:p>
    <w:p w:rsidR="00FB5677" w:rsidRDefault="00FB5677" w:rsidP="00DE48B5">
      <w:pPr>
        <w:ind w:firstLine="0"/>
        <w:rPr>
          <w:rFonts w:ascii="Tahoma" w:hAnsi="Tahoma" w:cs="Tahoma"/>
        </w:rPr>
      </w:pPr>
    </w:p>
    <w:p w:rsidR="00792FBA" w:rsidRPr="00500A9F" w:rsidRDefault="00792FBA" w:rsidP="00792FBA">
      <w:pPr>
        <w:ind w:firstLine="0"/>
        <w:jc w:val="center"/>
        <w:rPr>
          <w:rFonts w:ascii="Tahoma" w:hAnsi="Tahoma" w:cs="Tahoma"/>
          <w:b/>
          <w:bCs/>
          <w:sz w:val="22"/>
          <w:szCs w:val="22"/>
        </w:rPr>
      </w:pPr>
      <w:r w:rsidRPr="00500A9F">
        <w:rPr>
          <w:rFonts w:ascii="Tahoma" w:hAnsi="Tahoma" w:cs="Tahoma"/>
          <w:b/>
          <w:bCs/>
          <w:sz w:val="22"/>
          <w:szCs w:val="22"/>
        </w:rPr>
        <w:t>ATENTAMENTE</w:t>
      </w:r>
    </w:p>
    <w:p w:rsidR="00792FBA" w:rsidRPr="00500A9F" w:rsidRDefault="00792FBA" w:rsidP="00DE48B5">
      <w:pPr>
        <w:ind w:firstLine="0"/>
        <w:rPr>
          <w:rFonts w:ascii="Tahoma" w:hAnsi="Tahoma" w:cs="Tahoma"/>
          <w:sz w:val="22"/>
          <w:szCs w:val="22"/>
        </w:rPr>
      </w:pPr>
    </w:p>
    <w:p w:rsidR="00EE525E" w:rsidRPr="00500A9F" w:rsidRDefault="00EE525E" w:rsidP="00DE48B5">
      <w:pPr>
        <w:ind w:firstLine="0"/>
        <w:rPr>
          <w:rFonts w:ascii="Tahoma" w:hAnsi="Tahoma" w:cs="Tahoma"/>
          <w:sz w:val="22"/>
          <w:szCs w:val="22"/>
        </w:rPr>
      </w:pPr>
    </w:p>
    <w:p w:rsidR="00792FBA" w:rsidRPr="00500A9F" w:rsidRDefault="00792FBA" w:rsidP="0019582D">
      <w:pPr>
        <w:ind w:firstLine="0"/>
        <w:rPr>
          <w:rFonts w:ascii="Tahoma" w:hAnsi="Tahoma" w:cs="Tahoma"/>
          <w:sz w:val="22"/>
          <w:szCs w:val="22"/>
        </w:rPr>
      </w:pPr>
    </w:p>
    <w:p w:rsidR="0019582D" w:rsidRPr="00500A9F" w:rsidRDefault="0019582D" w:rsidP="0019582D">
      <w:pPr>
        <w:ind w:firstLine="0"/>
        <w:rPr>
          <w:rFonts w:ascii="Tahoma" w:hAnsi="Tahoma" w:cs="Tahoma"/>
          <w:sz w:val="22"/>
          <w:szCs w:val="22"/>
        </w:rPr>
      </w:pPr>
    </w:p>
    <w:p w:rsidR="00792FBA" w:rsidRPr="00500A9F" w:rsidRDefault="00792FBA" w:rsidP="00792FBA">
      <w:pPr>
        <w:ind w:firstLine="0"/>
        <w:jc w:val="center"/>
        <w:rPr>
          <w:rFonts w:ascii="Tahoma" w:hAnsi="Tahoma" w:cs="Tahoma"/>
          <w:b/>
          <w:bCs/>
          <w:sz w:val="22"/>
          <w:szCs w:val="22"/>
        </w:rPr>
      </w:pPr>
      <w:r w:rsidRPr="00500A9F">
        <w:rPr>
          <w:rFonts w:ascii="Tahoma" w:hAnsi="Tahoma" w:cs="Tahoma"/>
          <w:b/>
          <w:bCs/>
          <w:sz w:val="22"/>
          <w:szCs w:val="22"/>
        </w:rPr>
        <w:t xml:space="preserve">DIP. WILMER MANUEL MONFORTE MARFIL </w:t>
      </w:r>
    </w:p>
    <w:p w:rsidR="00792FBA" w:rsidRPr="00500A9F" w:rsidRDefault="00792FBA" w:rsidP="00792FBA">
      <w:pPr>
        <w:ind w:firstLine="0"/>
        <w:jc w:val="center"/>
        <w:rPr>
          <w:rFonts w:ascii="Tahoma" w:hAnsi="Tahoma" w:cs="Tahoma"/>
          <w:sz w:val="22"/>
          <w:szCs w:val="22"/>
        </w:rPr>
      </w:pPr>
      <w:r w:rsidRPr="00500A9F">
        <w:rPr>
          <w:rFonts w:ascii="Tahoma" w:hAnsi="Tahoma" w:cs="Tahoma"/>
          <w:sz w:val="22"/>
          <w:szCs w:val="22"/>
        </w:rPr>
        <w:t>COORDINADOR DE LA REPRESENTACIÓN LEGISLATIVA DE MORENA</w:t>
      </w:r>
    </w:p>
    <w:p w:rsidR="0019582D" w:rsidRPr="00500A9F" w:rsidRDefault="0019582D" w:rsidP="0019582D">
      <w:pPr>
        <w:ind w:firstLine="0"/>
        <w:jc w:val="left"/>
        <w:rPr>
          <w:rFonts w:ascii="Tahoma" w:hAnsi="Tahoma" w:cs="Tahoma"/>
          <w:sz w:val="22"/>
          <w:szCs w:val="22"/>
        </w:rPr>
      </w:pPr>
    </w:p>
    <w:p w:rsidR="00FB5677" w:rsidRPr="00500A9F" w:rsidRDefault="00FB5677" w:rsidP="0019582D">
      <w:pPr>
        <w:ind w:firstLine="0"/>
        <w:jc w:val="left"/>
        <w:rPr>
          <w:rFonts w:ascii="Tahoma" w:hAnsi="Tahoma" w:cs="Tahoma"/>
          <w:sz w:val="22"/>
          <w:szCs w:val="22"/>
        </w:rPr>
      </w:pPr>
    </w:p>
    <w:p w:rsidR="00EE525E" w:rsidRDefault="00EE525E" w:rsidP="0019582D">
      <w:pPr>
        <w:ind w:firstLine="0"/>
        <w:jc w:val="left"/>
        <w:rPr>
          <w:rFonts w:ascii="Tahoma" w:hAnsi="Tahoma" w:cs="Tahoma"/>
          <w:sz w:val="22"/>
          <w:szCs w:val="22"/>
        </w:rPr>
      </w:pPr>
    </w:p>
    <w:p w:rsidR="00EE525E" w:rsidRPr="00500A9F" w:rsidRDefault="00EE525E" w:rsidP="0019582D">
      <w:pPr>
        <w:ind w:firstLine="0"/>
        <w:jc w:val="left"/>
        <w:rPr>
          <w:rFonts w:ascii="Tahoma" w:hAnsi="Tahoma" w:cs="Tahoma"/>
          <w:sz w:val="22"/>
          <w:szCs w:val="22"/>
        </w:rPr>
      </w:pPr>
    </w:p>
    <w:p w:rsidR="0019582D" w:rsidRPr="00500A9F" w:rsidRDefault="0019582D" w:rsidP="0019582D">
      <w:pPr>
        <w:ind w:firstLine="0"/>
        <w:jc w:val="left"/>
        <w:rPr>
          <w:rFonts w:ascii="Tahoma" w:hAnsi="Tahoma" w:cs="Tahoma"/>
          <w:sz w:val="22"/>
          <w:szCs w:val="22"/>
        </w:rPr>
      </w:pPr>
    </w:p>
    <w:p w:rsidR="0019582D" w:rsidRPr="00500A9F" w:rsidRDefault="0019582D" w:rsidP="0019582D">
      <w:pPr>
        <w:ind w:firstLine="0"/>
        <w:rPr>
          <w:rFonts w:ascii="Tahoma" w:hAnsi="Tahoma" w:cs="Tahoma"/>
          <w:b/>
          <w:bCs/>
          <w:sz w:val="22"/>
          <w:szCs w:val="22"/>
        </w:rPr>
      </w:pPr>
      <w:r w:rsidRPr="00500A9F">
        <w:rPr>
          <w:rFonts w:ascii="Tahoma" w:hAnsi="Tahoma" w:cs="Tahoma"/>
          <w:b/>
          <w:bCs/>
          <w:sz w:val="22"/>
          <w:szCs w:val="22"/>
        </w:rPr>
        <w:t xml:space="preserve">DIP. FRANCISCO ROSAS VILLAVIVENCIO        DIP. HARRY GERARDO RODRÍGUEZ   </w:t>
      </w:r>
    </w:p>
    <w:p w:rsidR="0019582D" w:rsidRPr="00500A9F" w:rsidRDefault="0019582D" w:rsidP="0019582D">
      <w:pPr>
        <w:ind w:firstLine="0"/>
        <w:rPr>
          <w:rFonts w:ascii="Tahoma" w:hAnsi="Tahoma" w:cs="Tahoma"/>
          <w:b/>
          <w:bCs/>
          <w:sz w:val="22"/>
          <w:szCs w:val="22"/>
        </w:rPr>
      </w:pPr>
      <w:r w:rsidRPr="00500A9F">
        <w:rPr>
          <w:rFonts w:ascii="Tahoma" w:hAnsi="Tahoma" w:cs="Tahoma"/>
          <w:b/>
          <w:bCs/>
          <w:sz w:val="22"/>
          <w:szCs w:val="22"/>
        </w:rPr>
        <w:t xml:space="preserve">  </w:t>
      </w:r>
      <w:r w:rsidRPr="00500A9F">
        <w:rPr>
          <w:rFonts w:ascii="Tahoma" w:hAnsi="Tahoma" w:cs="Tahoma"/>
          <w:sz w:val="22"/>
          <w:szCs w:val="22"/>
        </w:rPr>
        <w:t xml:space="preserve">COORDINADOR DE LA REPRESENTACIÓN      </w:t>
      </w:r>
      <w:r w:rsidRPr="00500A9F">
        <w:rPr>
          <w:rFonts w:ascii="Tahoma" w:hAnsi="Tahoma" w:cs="Tahoma"/>
          <w:b/>
          <w:bCs/>
          <w:sz w:val="22"/>
          <w:szCs w:val="22"/>
        </w:rPr>
        <w:t xml:space="preserve">               </w:t>
      </w:r>
      <w:r w:rsidR="00500A9F">
        <w:rPr>
          <w:rFonts w:ascii="Tahoma" w:hAnsi="Tahoma" w:cs="Tahoma"/>
          <w:b/>
          <w:bCs/>
          <w:sz w:val="22"/>
          <w:szCs w:val="22"/>
        </w:rPr>
        <w:t xml:space="preserve">   </w:t>
      </w:r>
      <w:r w:rsidRPr="00500A9F">
        <w:rPr>
          <w:rFonts w:ascii="Tahoma" w:hAnsi="Tahoma" w:cs="Tahoma"/>
          <w:b/>
          <w:bCs/>
          <w:sz w:val="22"/>
          <w:szCs w:val="22"/>
        </w:rPr>
        <w:t xml:space="preserve">  BOTELLO FIERRO</w:t>
      </w:r>
    </w:p>
    <w:p w:rsidR="0019582D" w:rsidRPr="00500A9F" w:rsidRDefault="0019582D" w:rsidP="0019582D">
      <w:pPr>
        <w:ind w:firstLine="0"/>
        <w:jc w:val="left"/>
        <w:rPr>
          <w:rFonts w:ascii="Tahoma" w:hAnsi="Tahoma" w:cs="Tahoma"/>
          <w:sz w:val="22"/>
          <w:szCs w:val="22"/>
        </w:rPr>
      </w:pPr>
      <w:r w:rsidRPr="00500A9F">
        <w:rPr>
          <w:rFonts w:ascii="Tahoma" w:hAnsi="Tahoma" w:cs="Tahoma"/>
          <w:sz w:val="22"/>
          <w:szCs w:val="22"/>
        </w:rPr>
        <w:t xml:space="preserve">  LEGISLATIVA DEL PARTIDO DEL TRABAJO          COORDINADOR DE REPRE</w:t>
      </w:r>
      <w:r w:rsidR="004465E6">
        <w:rPr>
          <w:rFonts w:ascii="Tahoma" w:hAnsi="Tahoma" w:cs="Tahoma"/>
          <w:sz w:val="22"/>
          <w:szCs w:val="22"/>
        </w:rPr>
        <w:t>S</w:t>
      </w:r>
      <w:r w:rsidRPr="00500A9F">
        <w:rPr>
          <w:rFonts w:ascii="Tahoma" w:hAnsi="Tahoma" w:cs="Tahoma"/>
          <w:sz w:val="22"/>
          <w:szCs w:val="22"/>
        </w:rPr>
        <w:t xml:space="preserve">ENTACIÓN              </w:t>
      </w:r>
    </w:p>
    <w:p w:rsidR="0019582D" w:rsidRPr="00500A9F" w:rsidRDefault="0019582D" w:rsidP="0019582D">
      <w:pPr>
        <w:ind w:firstLine="0"/>
        <w:jc w:val="left"/>
        <w:rPr>
          <w:rFonts w:ascii="Tahoma" w:hAnsi="Tahoma" w:cs="Tahoma"/>
          <w:sz w:val="22"/>
          <w:szCs w:val="22"/>
        </w:rPr>
      </w:pPr>
      <w:r w:rsidRPr="00500A9F">
        <w:rPr>
          <w:rFonts w:ascii="Tahoma" w:hAnsi="Tahoma" w:cs="Tahoma"/>
          <w:sz w:val="22"/>
          <w:szCs w:val="22"/>
        </w:rPr>
        <w:t xml:space="preserve">                                                                          LEGISLATIVA DEL PARTIDO VERDE   </w:t>
      </w:r>
    </w:p>
    <w:p w:rsidR="00792FBA" w:rsidRPr="00500A9F" w:rsidRDefault="0019582D" w:rsidP="0019582D">
      <w:pPr>
        <w:ind w:firstLine="0"/>
        <w:jc w:val="left"/>
        <w:rPr>
          <w:rFonts w:ascii="Tahoma" w:hAnsi="Tahoma" w:cs="Tahoma"/>
          <w:sz w:val="22"/>
          <w:szCs w:val="22"/>
        </w:rPr>
      </w:pPr>
      <w:r w:rsidRPr="00500A9F">
        <w:rPr>
          <w:rFonts w:ascii="Tahoma" w:hAnsi="Tahoma" w:cs="Tahoma"/>
          <w:sz w:val="22"/>
          <w:szCs w:val="22"/>
        </w:rPr>
        <w:t xml:space="preserve">                                                                                ECOLOGISTA DE MÉXICO</w:t>
      </w:r>
    </w:p>
    <w:p w:rsidR="00F07097" w:rsidRDefault="00F07097" w:rsidP="0019582D">
      <w:pPr>
        <w:ind w:firstLine="0"/>
        <w:jc w:val="center"/>
        <w:rPr>
          <w:rFonts w:ascii="Tahoma" w:hAnsi="Tahoma" w:cs="Tahoma"/>
          <w:b/>
          <w:bCs/>
          <w:sz w:val="22"/>
          <w:szCs w:val="22"/>
        </w:rPr>
      </w:pPr>
    </w:p>
    <w:p w:rsidR="00792FBA" w:rsidRPr="00FB5677" w:rsidRDefault="0019582D" w:rsidP="0019582D">
      <w:pPr>
        <w:ind w:firstLine="0"/>
        <w:jc w:val="center"/>
        <w:rPr>
          <w:rFonts w:ascii="Tahoma" w:hAnsi="Tahoma" w:cs="Tahoma"/>
          <w:b/>
          <w:bCs/>
          <w:sz w:val="22"/>
          <w:szCs w:val="22"/>
        </w:rPr>
      </w:pPr>
      <w:r w:rsidRPr="00FB5677">
        <w:rPr>
          <w:rFonts w:ascii="Tahoma" w:hAnsi="Tahoma" w:cs="Tahoma"/>
          <w:b/>
          <w:bCs/>
          <w:sz w:val="22"/>
          <w:szCs w:val="22"/>
        </w:rPr>
        <w:t>INTEGRANTES DE LA FRACCIÓN LEGISLATIVA DE MORENA</w:t>
      </w:r>
    </w:p>
    <w:p w:rsidR="0019582D" w:rsidRPr="00FB5677" w:rsidRDefault="0019582D" w:rsidP="00DE48B5">
      <w:pPr>
        <w:ind w:firstLine="0"/>
        <w:rPr>
          <w:rFonts w:ascii="Tahoma" w:hAnsi="Tahoma" w:cs="Tahoma"/>
          <w:sz w:val="22"/>
          <w:szCs w:val="22"/>
        </w:rPr>
      </w:pPr>
    </w:p>
    <w:p w:rsidR="0019582D" w:rsidRDefault="0019582D" w:rsidP="00DE48B5">
      <w:pPr>
        <w:ind w:firstLine="0"/>
        <w:rPr>
          <w:rFonts w:ascii="Tahoma" w:hAnsi="Tahoma" w:cs="Tahoma"/>
          <w:sz w:val="22"/>
          <w:szCs w:val="22"/>
        </w:rPr>
      </w:pPr>
    </w:p>
    <w:p w:rsidR="00500A9F" w:rsidRDefault="00500A9F" w:rsidP="00DE48B5">
      <w:pPr>
        <w:ind w:firstLine="0"/>
        <w:rPr>
          <w:rFonts w:ascii="Tahoma" w:hAnsi="Tahoma" w:cs="Tahoma"/>
          <w:sz w:val="22"/>
          <w:szCs w:val="22"/>
        </w:rPr>
      </w:pPr>
    </w:p>
    <w:p w:rsidR="00FB5677" w:rsidRDefault="00FB5677" w:rsidP="00DE48B5">
      <w:pPr>
        <w:ind w:firstLine="0"/>
        <w:rPr>
          <w:rFonts w:ascii="Tahoma" w:hAnsi="Tahoma" w:cs="Tahoma"/>
          <w:sz w:val="22"/>
          <w:szCs w:val="22"/>
        </w:rPr>
      </w:pPr>
    </w:p>
    <w:p w:rsidR="00EE525E" w:rsidRPr="00FB5677" w:rsidRDefault="00EE525E" w:rsidP="00DE48B5">
      <w:pPr>
        <w:ind w:firstLine="0"/>
        <w:rPr>
          <w:rFonts w:ascii="Tahoma" w:hAnsi="Tahoma" w:cs="Tahoma"/>
          <w:sz w:val="22"/>
          <w:szCs w:val="22"/>
        </w:rPr>
      </w:pPr>
    </w:p>
    <w:p w:rsidR="0019582D" w:rsidRPr="00FB5677" w:rsidRDefault="0019582D" w:rsidP="00DE48B5">
      <w:pPr>
        <w:ind w:firstLine="0"/>
        <w:rPr>
          <w:rFonts w:ascii="Tahoma" w:hAnsi="Tahoma" w:cs="Tahoma"/>
          <w:sz w:val="22"/>
          <w:szCs w:val="22"/>
        </w:rPr>
      </w:pPr>
    </w:p>
    <w:p w:rsidR="00FB5677" w:rsidRDefault="0019582D" w:rsidP="00FB5677">
      <w:pPr>
        <w:ind w:firstLine="0"/>
        <w:rPr>
          <w:rFonts w:ascii="Tahoma" w:hAnsi="Tahoma" w:cs="Tahoma"/>
          <w:b/>
          <w:bCs/>
          <w:sz w:val="22"/>
          <w:szCs w:val="22"/>
        </w:rPr>
      </w:pPr>
      <w:r w:rsidRPr="00FB5677">
        <w:rPr>
          <w:rFonts w:ascii="Tahoma" w:hAnsi="Tahoma" w:cs="Tahoma"/>
          <w:b/>
          <w:bCs/>
          <w:sz w:val="22"/>
          <w:szCs w:val="22"/>
        </w:rPr>
        <w:t xml:space="preserve">DIP. DANIEL ENRIQUE GÓNZALEZ </w:t>
      </w:r>
      <w:r w:rsidR="00FB5677">
        <w:rPr>
          <w:rFonts w:ascii="Tahoma" w:hAnsi="Tahoma" w:cs="Tahoma"/>
          <w:b/>
          <w:bCs/>
          <w:sz w:val="22"/>
          <w:szCs w:val="22"/>
        </w:rPr>
        <w:t xml:space="preserve">                         </w:t>
      </w:r>
      <w:r w:rsidR="00FB5677" w:rsidRPr="00FB5677">
        <w:rPr>
          <w:rFonts w:ascii="Tahoma" w:hAnsi="Tahoma" w:cs="Tahoma"/>
          <w:b/>
          <w:bCs/>
          <w:sz w:val="22"/>
          <w:szCs w:val="22"/>
        </w:rPr>
        <w:t>DIP. CLAUDIA ESTEFANÍA BAEZA</w:t>
      </w:r>
    </w:p>
    <w:p w:rsidR="00FB5677" w:rsidRPr="00FB5677" w:rsidRDefault="00FB5677" w:rsidP="00FB5677">
      <w:pPr>
        <w:ind w:firstLine="0"/>
        <w:rPr>
          <w:rFonts w:ascii="Tahoma" w:hAnsi="Tahoma" w:cs="Tahoma"/>
          <w:b/>
          <w:bCs/>
          <w:sz w:val="22"/>
          <w:szCs w:val="22"/>
        </w:rPr>
      </w:pPr>
      <w:r>
        <w:rPr>
          <w:rFonts w:ascii="Tahoma" w:hAnsi="Tahoma" w:cs="Tahoma"/>
          <w:b/>
          <w:bCs/>
          <w:sz w:val="22"/>
          <w:szCs w:val="22"/>
        </w:rPr>
        <w:t xml:space="preserve">                      </w:t>
      </w:r>
      <w:r w:rsidR="0019582D" w:rsidRPr="00FB5677">
        <w:rPr>
          <w:rFonts w:ascii="Tahoma" w:hAnsi="Tahoma" w:cs="Tahoma"/>
          <w:b/>
          <w:bCs/>
          <w:sz w:val="22"/>
          <w:szCs w:val="22"/>
        </w:rPr>
        <w:t>QUINTAL</w:t>
      </w:r>
      <w:r>
        <w:rPr>
          <w:rFonts w:ascii="Tahoma" w:hAnsi="Tahoma" w:cs="Tahoma"/>
          <w:b/>
          <w:bCs/>
          <w:sz w:val="22"/>
          <w:szCs w:val="22"/>
        </w:rPr>
        <w:t xml:space="preserve">                                                                </w:t>
      </w:r>
      <w:r w:rsidRPr="00FB5677">
        <w:rPr>
          <w:rFonts w:ascii="Tahoma" w:hAnsi="Tahoma" w:cs="Tahoma"/>
          <w:b/>
          <w:bCs/>
          <w:sz w:val="22"/>
          <w:szCs w:val="22"/>
        </w:rPr>
        <w:t>MARTÍNEZ</w:t>
      </w:r>
    </w:p>
    <w:p w:rsidR="00FB5677" w:rsidRDefault="00FB5677" w:rsidP="00FB5677">
      <w:pPr>
        <w:ind w:firstLine="0"/>
        <w:rPr>
          <w:rFonts w:ascii="Tahoma" w:hAnsi="Tahoma" w:cs="Tahoma"/>
          <w:b/>
          <w:bCs/>
          <w:sz w:val="22"/>
          <w:szCs w:val="22"/>
        </w:rPr>
      </w:pPr>
    </w:p>
    <w:p w:rsidR="00FB5677" w:rsidRDefault="00FB5677" w:rsidP="00FB5677">
      <w:pPr>
        <w:ind w:firstLine="0"/>
        <w:rPr>
          <w:rFonts w:ascii="Tahoma" w:hAnsi="Tahoma" w:cs="Tahoma"/>
          <w:b/>
          <w:bCs/>
          <w:sz w:val="22"/>
          <w:szCs w:val="22"/>
        </w:rPr>
      </w:pPr>
    </w:p>
    <w:p w:rsidR="00500A9F" w:rsidRDefault="00500A9F" w:rsidP="00FB5677">
      <w:pPr>
        <w:ind w:firstLine="0"/>
        <w:rPr>
          <w:rFonts w:ascii="Tahoma" w:hAnsi="Tahoma" w:cs="Tahoma"/>
          <w:b/>
          <w:bCs/>
          <w:sz w:val="22"/>
          <w:szCs w:val="22"/>
        </w:rPr>
      </w:pPr>
    </w:p>
    <w:p w:rsidR="00FB5677" w:rsidRDefault="00FB5677" w:rsidP="00FB5677">
      <w:pPr>
        <w:ind w:firstLine="0"/>
        <w:rPr>
          <w:rFonts w:ascii="Tahoma" w:hAnsi="Tahoma" w:cs="Tahoma"/>
          <w:b/>
          <w:bCs/>
          <w:sz w:val="22"/>
          <w:szCs w:val="22"/>
        </w:rPr>
      </w:pPr>
    </w:p>
    <w:p w:rsidR="00EE525E" w:rsidRDefault="00EE525E" w:rsidP="00FB5677">
      <w:pPr>
        <w:ind w:firstLine="0"/>
        <w:rPr>
          <w:rFonts w:ascii="Tahoma" w:hAnsi="Tahoma" w:cs="Tahoma"/>
          <w:b/>
          <w:bCs/>
          <w:sz w:val="22"/>
          <w:szCs w:val="22"/>
        </w:rPr>
      </w:pPr>
    </w:p>
    <w:p w:rsidR="00FB5677" w:rsidRDefault="00FB5677" w:rsidP="00FB5677">
      <w:pPr>
        <w:ind w:firstLine="0"/>
        <w:rPr>
          <w:rFonts w:ascii="Tahoma" w:hAnsi="Tahoma" w:cs="Tahoma"/>
          <w:b/>
          <w:bCs/>
          <w:sz w:val="22"/>
          <w:szCs w:val="22"/>
        </w:rPr>
      </w:pPr>
    </w:p>
    <w:p w:rsidR="00FB5677" w:rsidRDefault="00FB5677" w:rsidP="00FB5677">
      <w:pPr>
        <w:ind w:firstLine="0"/>
        <w:rPr>
          <w:rFonts w:ascii="Tahoma" w:hAnsi="Tahoma" w:cs="Tahoma"/>
          <w:b/>
          <w:bCs/>
          <w:sz w:val="22"/>
          <w:szCs w:val="22"/>
        </w:rPr>
      </w:pPr>
    </w:p>
    <w:p w:rsidR="00FB5677" w:rsidRDefault="00FB5677" w:rsidP="00FB5677">
      <w:pPr>
        <w:ind w:firstLine="0"/>
        <w:rPr>
          <w:rFonts w:ascii="Tahoma" w:hAnsi="Tahoma" w:cs="Tahoma"/>
          <w:b/>
          <w:bCs/>
          <w:sz w:val="22"/>
          <w:szCs w:val="22"/>
        </w:rPr>
      </w:pPr>
      <w:r w:rsidRPr="00FB5677">
        <w:rPr>
          <w:rFonts w:ascii="Tahoma" w:hAnsi="Tahoma" w:cs="Tahoma"/>
          <w:b/>
          <w:bCs/>
          <w:sz w:val="22"/>
          <w:szCs w:val="22"/>
        </w:rPr>
        <w:t xml:space="preserve">DIP. NAOMI RAQUEL PENICHE </w:t>
      </w:r>
      <w:r>
        <w:rPr>
          <w:rFonts w:ascii="Tahoma" w:hAnsi="Tahoma" w:cs="Tahoma"/>
          <w:b/>
          <w:bCs/>
          <w:sz w:val="22"/>
          <w:szCs w:val="22"/>
        </w:rPr>
        <w:t xml:space="preserve">                             DIP. CLARA PAOLA ROSALES </w:t>
      </w:r>
    </w:p>
    <w:p w:rsidR="00FB5677" w:rsidRDefault="00FB5677" w:rsidP="00FB5677">
      <w:pPr>
        <w:ind w:firstLine="0"/>
        <w:rPr>
          <w:rFonts w:ascii="Tahoma" w:hAnsi="Tahoma" w:cs="Tahoma"/>
          <w:b/>
          <w:bCs/>
          <w:sz w:val="22"/>
          <w:szCs w:val="22"/>
        </w:rPr>
      </w:pPr>
      <w:r>
        <w:rPr>
          <w:rFonts w:ascii="Tahoma" w:hAnsi="Tahoma" w:cs="Tahoma"/>
          <w:b/>
          <w:bCs/>
          <w:sz w:val="22"/>
          <w:szCs w:val="22"/>
        </w:rPr>
        <w:t xml:space="preserve">                      </w:t>
      </w:r>
      <w:r w:rsidRPr="00FB5677">
        <w:rPr>
          <w:rFonts w:ascii="Tahoma" w:hAnsi="Tahoma" w:cs="Tahoma"/>
          <w:b/>
          <w:bCs/>
          <w:sz w:val="22"/>
          <w:szCs w:val="22"/>
        </w:rPr>
        <w:t>LÓPEZ</w:t>
      </w:r>
      <w:r>
        <w:rPr>
          <w:rFonts w:ascii="Tahoma" w:hAnsi="Tahoma" w:cs="Tahoma"/>
          <w:b/>
          <w:bCs/>
          <w:sz w:val="22"/>
          <w:szCs w:val="22"/>
        </w:rPr>
        <w:t xml:space="preserve">                                                                   MONTIEL </w:t>
      </w:r>
    </w:p>
    <w:p w:rsidR="00FB5677" w:rsidRPr="00FB5677" w:rsidRDefault="00FB5677" w:rsidP="00FB5677">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500A9F" w:rsidRDefault="00500A9F"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EE525E" w:rsidRPr="00FB5677" w:rsidRDefault="00EE525E" w:rsidP="00DE48B5">
      <w:pPr>
        <w:ind w:firstLine="0"/>
        <w:rPr>
          <w:rFonts w:ascii="Tahoma" w:hAnsi="Tahoma" w:cs="Tahoma"/>
          <w:b/>
          <w:bCs/>
          <w:sz w:val="22"/>
          <w:szCs w:val="22"/>
        </w:rPr>
      </w:pPr>
    </w:p>
    <w:p w:rsidR="00FB5677" w:rsidRP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r>
        <w:rPr>
          <w:rFonts w:ascii="Tahoma" w:hAnsi="Tahoma" w:cs="Tahoma"/>
          <w:b/>
          <w:bCs/>
          <w:sz w:val="22"/>
          <w:szCs w:val="22"/>
        </w:rPr>
        <w:t xml:space="preserve"> </w:t>
      </w:r>
    </w:p>
    <w:p w:rsidR="00FB5677" w:rsidRDefault="00FB5677" w:rsidP="00DE48B5">
      <w:pPr>
        <w:ind w:firstLine="0"/>
        <w:rPr>
          <w:rFonts w:ascii="Tahoma" w:hAnsi="Tahoma" w:cs="Tahoma"/>
          <w:b/>
          <w:bCs/>
          <w:sz w:val="22"/>
          <w:szCs w:val="22"/>
        </w:rPr>
      </w:pPr>
      <w:r>
        <w:rPr>
          <w:rFonts w:ascii="Tahoma" w:hAnsi="Tahoma" w:cs="Tahoma"/>
          <w:b/>
          <w:bCs/>
          <w:sz w:val="22"/>
          <w:szCs w:val="22"/>
        </w:rPr>
        <w:t xml:space="preserve">DIP. JOSÉ JULÍAN BUSTILLOS                             DIP. BAYARDO OJEDA MARRUFO </w:t>
      </w:r>
    </w:p>
    <w:p w:rsidR="00FB5677" w:rsidRDefault="00FB5677" w:rsidP="00DE48B5">
      <w:pPr>
        <w:ind w:firstLine="0"/>
        <w:rPr>
          <w:rFonts w:ascii="Tahoma" w:hAnsi="Tahoma" w:cs="Tahoma"/>
          <w:b/>
          <w:bCs/>
          <w:sz w:val="22"/>
          <w:szCs w:val="22"/>
        </w:rPr>
      </w:pPr>
      <w:r>
        <w:rPr>
          <w:rFonts w:ascii="Tahoma" w:hAnsi="Tahoma" w:cs="Tahoma"/>
          <w:b/>
          <w:bCs/>
          <w:sz w:val="22"/>
          <w:szCs w:val="22"/>
        </w:rPr>
        <w:t xml:space="preserve">                   MEDINA </w:t>
      </w: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500A9F" w:rsidRDefault="00500A9F"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r>
        <w:rPr>
          <w:rFonts w:ascii="Tahoma" w:hAnsi="Tahoma" w:cs="Tahoma"/>
          <w:b/>
          <w:bCs/>
          <w:sz w:val="22"/>
          <w:szCs w:val="22"/>
        </w:rPr>
        <w:t xml:space="preserve">DIP. SAMUEL DE JESÚS LIZAMA                            DIP. ALBA CRISTINA COB CORTÉS </w:t>
      </w:r>
    </w:p>
    <w:p w:rsidR="00FB5677" w:rsidRDefault="00FB5677" w:rsidP="00DE48B5">
      <w:pPr>
        <w:ind w:firstLine="0"/>
        <w:rPr>
          <w:rFonts w:ascii="Tahoma" w:hAnsi="Tahoma" w:cs="Tahoma"/>
          <w:b/>
          <w:bCs/>
          <w:sz w:val="22"/>
          <w:szCs w:val="22"/>
        </w:rPr>
      </w:pPr>
      <w:r>
        <w:rPr>
          <w:rFonts w:ascii="Tahoma" w:hAnsi="Tahoma" w:cs="Tahoma"/>
          <w:b/>
          <w:bCs/>
          <w:sz w:val="22"/>
          <w:szCs w:val="22"/>
        </w:rPr>
        <w:t xml:space="preserve">                 </w:t>
      </w:r>
      <w:r w:rsidR="00EE525E">
        <w:rPr>
          <w:rFonts w:ascii="Tahoma" w:hAnsi="Tahoma" w:cs="Tahoma"/>
          <w:b/>
          <w:bCs/>
          <w:sz w:val="22"/>
          <w:szCs w:val="22"/>
        </w:rPr>
        <w:t xml:space="preserve"> </w:t>
      </w:r>
      <w:r>
        <w:rPr>
          <w:rFonts w:ascii="Tahoma" w:hAnsi="Tahoma" w:cs="Tahoma"/>
          <w:b/>
          <w:bCs/>
          <w:sz w:val="22"/>
          <w:szCs w:val="22"/>
        </w:rPr>
        <w:t xml:space="preserve">  GASCA</w:t>
      </w: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500A9F" w:rsidRDefault="00500A9F"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r>
        <w:rPr>
          <w:rFonts w:ascii="Tahoma" w:hAnsi="Tahoma" w:cs="Tahoma"/>
          <w:b/>
          <w:bCs/>
          <w:sz w:val="22"/>
          <w:szCs w:val="22"/>
        </w:rPr>
        <w:t xml:space="preserve">DIP. MARIO ALEJANDRO CUEVAS                     </w:t>
      </w:r>
      <w:r w:rsidR="00EE525E">
        <w:rPr>
          <w:rFonts w:ascii="Tahoma" w:hAnsi="Tahoma" w:cs="Tahoma"/>
          <w:b/>
          <w:bCs/>
          <w:sz w:val="22"/>
          <w:szCs w:val="22"/>
        </w:rPr>
        <w:t xml:space="preserve">  </w:t>
      </w:r>
      <w:r>
        <w:rPr>
          <w:rFonts w:ascii="Tahoma" w:hAnsi="Tahoma" w:cs="Tahoma"/>
          <w:b/>
          <w:bCs/>
          <w:sz w:val="22"/>
          <w:szCs w:val="22"/>
        </w:rPr>
        <w:t xml:space="preserve"> DIP. RAFAEL GERMÁN QUINTAL </w:t>
      </w:r>
    </w:p>
    <w:p w:rsidR="00FB5677" w:rsidRDefault="00FB5677" w:rsidP="00DE48B5">
      <w:pPr>
        <w:ind w:firstLine="0"/>
        <w:rPr>
          <w:rFonts w:ascii="Tahoma" w:hAnsi="Tahoma" w:cs="Tahoma"/>
          <w:b/>
          <w:bCs/>
          <w:sz w:val="22"/>
          <w:szCs w:val="22"/>
        </w:rPr>
      </w:pPr>
      <w:r>
        <w:rPr>
          <w:rFonts w:ascii="Tahoma" w:hAnsi="Tahoma" w:cs="Tahoma"/>
          <w:b/>
          <w:bCs/>
          <w:sz w:val="22"/>
          <w:szCs w:val="22"/>
        </w:rPr>
        <w:t xml:space="preserve">                  </w:t>
      </w:r>
      <w:r w:rsidR="00EE525E">
        <w:rPr>
          <w:rFonts w:ascii="Tahoma" w:hAnsi="Tahoma" w:cs="Tahoma"/>
          <w:b/>
          <w:bCs/>
          <w:sz w:val="22"/>
          <w:szCs w:val="22"/>
        </w:rPr>
        <w:t xml:space="preserve">  </w:t>
      </w:r>
      <w:r>
        <w:rPr>
          <w:rFonts w:ascii="Tahoma" w:hAnsi="Tahoma" w:cs="Tahoma"/>
          <w:b/>
          <w:bCs/>
          <w:sz w:val="22"/>
          <w:szCs w:val="22"/>
        </w:rPr>
        <w:t xml:space="preserve">   MENA                                                                 </w:t>
      </w:r>
      <w:r w:rsidR="00EE525E">
        <w:rPr>
          <w:rFonts w:ascii="Tahoma" w:hAnsi="Tahoma" w:cs="Tahoma"/>
          <w:b/>
          <w:bCs/>
          <w:sz w:val="22"/>
          <w:szCs w:val="22"/>
        </w:rPr>
        <w:t xml:space="preserve">  </w:t>
      </w:r>
      <w:r>
        <w:rPr>
          <w:rFonts w:ascii="Tahoma" w:hAnsi="Tahoma" w:cs="Tahoma"/>
          <w:b/>
          <w:bCs/>
          <w:sz w:val="22"/>
          <w:szCs w:val="22"/>
        </w:rPr>
        <w:t xml:space="preserve">   MEDINA </w:t>
      </w:r>
    </w:p>
    <w:p w:rsidR="00FB5677" w:rsidRDefault="00FB5677" w:rsidP="00DE48B5">
      <w:pPr>
        <w:ind w:firstLine="0"/>
        <w:rPr>
          <w:rFonts w:ascii="Tahoma" w:hAnsi="Tahoma" w:cs="Tahoma"/>
          <w:b/>
          <w:bCs/>
          <w:sz w:val="22"/>
          <w:szCs w:val="22"/>
        </w:rPr>
      </w:pPr>
    </w:p>
    <w:p w:rsidR="00500A9F" w:rsidRDefault="00500A9F"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500A9F" w:rsidRDefault="00500A9F"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FB5677">
      <w:pPr>
        <w:ind w:firstLine="0"/>
        <w:rPr>
          <w:rFonts w:ascii="Tahoma" w:hAnsi="Tahoma" w:cs="Tahoma"/>
          <w:b/>
          <w:bCs/>
          <w:sz w:val="22"/>
          <w:szCs w:val="22"/>
        </w:rPr>
      </w:pPr>
      <w:r>
        <w:rPr>
          <w:rFonts w:ascii="Tahoma" w:hAnsi="Tahoma" w:cs="Tahoma"/>
          <w:b/>
          <w:bCs/>
          <w:sz w:val="22"/>
          <w:szCs w:val="22"/>
        </w:rPr>
        <w:t xml:space="preserve">DIP. MARÍA ESTHER MAGADÁN                         </w:t>
      </w:r>
      <w:r w:rsidR="00EE525E">
        <w:rPr>
          <w:rFonts w:ascii="Tahoma" w:hAnsi="Tahoma" w:cs="Tahoma"/>
          <w:b/>
          <w:bCs/>
          <w:sz w:val="22"/>
          <w:szCs w:val="22"/>
        </w:rPr>
        <w:t xml:space="preserve">  </w:t>
      </w:r>
      <w:r>
        <w:rPr>
          <w:rFonts w:ascii="Tahoma" w:hAnsi="Tahoma" w:cs="Tahoma"/>
          <w:b/>
          <w:bCs/>
          <w:sz w:val="22"/>
          <w:szCs w:val="22"/>
        </w:rPr>
        <w:t xml:space="preserve">DIP. ERIC EDGARDO QUIJANO </w:t>
      </w:r>
    </w:p>
    <w:p w:rsidR="00FB5677" w:rsidRDefault="00FB5677" w:rsidP="00DE48B5">
      <w:pPr>
        <w:ind w:firstLine="0"/>
        <w:rPr>
          <w:rFonts w:ascii="Tahoma" w:hAnsi="Tahoma" w:cs="Tahoma"/>
          <w:b/>
          <w:bCs/>
          <w:sz w:val="22"/>
          <w:szCs w:val="22"/>
        </w:rPr>
      </w:pPr>
      <w:r>
        <w:rPr>
          <w:rFonts w:ascii="Tahoma" w:hAnsi="Tahoma" w:cs="Tahoma"/>
          <w:b/>
          <w:bCs/>
          <w:sz w:val="22"/>
          <w:szCs w:val="22"/>
        </w:rPr>
        <w:t xml:space="preserve">                      ALONZO                                                             GONZÁLEZ</w:t>
      </w: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500A9F" w:rsidRDefault="00FB5677" w:rsidP="00500A9F">
      <w:pPr>
        <w:ind w:firstLine="0"/>
        <w:rPr>
          <w:rFonts w:ascii="Tahoma" w:hAnsi="Tahoma" w:cs="Tahoma"/>
          <w:b/>
          <w:bCs/>
          <w:sz w:val="22"/>
          <w:szCs w:val="22"/>
        </w:rPr>
      </w:pPr>
      <w:r>
        <w:rPr>
          <w:rFonts w:ascii="Tahoma" w:hAnsi="Tahoma" w:cs="Tahoma"/>
          <w:b/>
          <w:bCs/>
          <w:sz w:val="22"/>
          <w:szCs w:val="22"/>
        </w:rPr>
        <w:t xml:space="preserve">DIP. MARIBEL DEL ROSARIO CHUC </w:t>
      </w:r>
      <w:r w:rsidR="00500A9F">
        <w:rPr>
          <w:rFonts w:ascii="Tahoma" w:hAnsi="Tahoma" w:cs="Tahoma"/>
          <w:b/>
          <w:bCs/>
          <w:sz w:val="22"/>
          <w:szCs w:val="22"/>
        </w:rPr>
        <w:t xml:space="preserve">                      DIP. WILBER DZUL CANUL</w:t>
      </w:r>
    </w:p>
    <w:p w:rsidR="00500A9F" w:rsidRDefault="00500A9F" w:rsidP="00500A9F">
      <w:pPr>
        <w:ind w:firstLine="0"/>
        <w:rPr>
          <w:rFonts w:ascii="Tahoma" w:hAnsi="Tahoma" w:cs="Tahoma"/>
          <w:b/>
          <w:bCs/>
          <w:sz w:val="22"/>
          <w:szCs w:val="22"/>
        </w:rPr>
      </w:pPr>
      <w:r>
        <w:rPr>
          <w:rFonts w:ascii="Tahoma" w:hAnsi="Tahoma" w:cs="Tahoma"/>
          <w:b/>
          <w:bCs/>
          <w:sz w:val="22"/>
          <w:szCs w:val="22"/>
        </w:rPr>
        <w:t xml:space="preserve">                         </w:t>
      </w:r>
      <w:r w:rsidR="00FB5677">
        <w:rPr>
          <w:rFonts w:ascii="Tahoma" w:hAnsi="Tahoma" w:cs="Tahoma"/>
          <w:b/>
          <w:bCs/>
          <w:sz w:val="22"/>
          <w:szCs w:val="22"/>
        </w:rPr>
        <w:t xml:space="preserve">AYALA </w:t>
      </w:r>
      <w:r>
        <w:rPr>
          <w:rFonts w:ascii="Tahoma" w:hAnsi="Tahoma" w:cs="Tahoma"/>
          <w:b/>
          <w:bCs/>
          <w:sz w:val="22"/>
          <w:szCs w:val="22"/>
        </w:rPr>
        <w:t xml:space="preserve">               </w:t>
      </w: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EE525E" w:rsidRDefault="00EE525E"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500A9F" w:rsidRDefault="00500A9F" w:rsidP="00DE48B5">
      <w:pPr>
        <w:ind w:firstLine="0"/>
        <w:rPr>
          <w:rFonts w:ascii="Tahoma" w:hAnsi="Tahoma" w:cs="Tahoma"/>
          <w:b/>
          <w:bCs/>
          <w:sz w:val="22"/>
          <w:szCs w:val="22"/>
        </w:rPr>
      </w:pPr>
    </w:p>
    <w:p w:rsidR="00500A9F" w:rsidRDefault="00FB5677" w:rsidP="00DE48B5">
      <w:pPr>
        <w:ind w:firstLine="0"/>
        <w:rPr>
          <w:rFonts w:ascii="Tahoma" w:hAnsi="Tahoma" w:cs="Tahoma"/>
          <w:b/>
          <w:bCs/>
          <w:sz w:val="22"/>
          <w:szCs w:val="22"/>
        </w:rPr>
      </w:pPr>
      <w:r>
        <w:rPr>
          <w:rFonts w:ascii="Tahoma" w:hAnsi="Tahoma" w:cs="Tahoma"/>
          <w:b/>
          <w:bCs/>
          <w:sz w:val="22"/>
          <w:szCs w:val="22"/>
        </w:rPr>
        <w:t>DIP. AYDÉ VERÓNICA INTERI</w:t>
      </w:r>
      <w:r w:rsidR="00500A9F">
        <w:rPr>
          <w:rFonts w:ascii="Tahoma" w:hAnsi="Tahoma" w:cs="Tahoma"/>
          <w:b/>
          <w:bCs/>
          <w:sz w:val="22"/>
          <w:szCs w:val="22"/>
        </w:rPr>
        <w:t>A</w:t>
      </w:r>
      <w:r>
        <w:rPr>
          <w:rFonts w:ascii="Tahoma" w:hAnsi="Tahoma" w:cs="Tahoma"/>
          <w:b/>
          <w:bCs/>
          <w:sz w:val="22"/>
          <w:szCs w:val="22"/>
        </w:rPr>
        <w:t xml:space="preserve">N </w:t>
      </w:r>
      <w:r w:rsidR="00500A9F">
        <w:rPr>
          <w:rFonts w:ascii="Tahoma" w:hAnsi="Tahoma" w:cs="Tahoma"/>
          <w:b/>
          <w:bCs/>
          <w:sz w:val="22"/>
          <w:szCs w:val="22"/>
        </w:rPr>
        <w:t xml:space="preserve">                    </w:t>
      </w:r>
      <w:r w:rsidR="00EE525E">
        <w:rPr>
          <w:rFonts w:ascii="Tahoma" w:hAnsi="Tahoma" w:cs="Tahoma"/>
          <w:b/>
          <w:bCs/>
          <w:sz w:val="22"/>
          <w:szCs w:val="22"/>
        </w:rPr>
        <w:t xml:space="preserve">  </w:t>
      </w:r>
      <w:r w:rsidR="00500A9F">
        <w:rPr>
          <w:rFonts w:ascii="Tahoma" w:hAnsi="Tahoma" w:cs="Tahoma"/>
          <w:b/>
          <w:bCs/>
          <w:sz w:val="22"/>
          <w:szCs w:val="22"/>
        </w:rPr>
        <w:t xml:space="preserve">  DIP. NEYDA ARACELLY PAT DZUL </w:t>
      </w:r>
    </w:p>
    <w:p w:rsidR="00FB5677" w:rsidRDefault="00500A9F" w:rsidP="00DE48B5">
      <w:pPr>
        <w:ind w:firstLine="0"/>
        <w:rPr>
          <w:rFonts w:ascii="Tahoma" w:hAnsi="Tahoma" w:cs="Tahoma"/>
          <w:b/>
          <w:bCs/>
          <w:sz w:val="22"/>
          <w:szCs w:val="22"/>
        </w:rPr>
      </w:pPr>
      <w:r>
        <w:rPr>
          <w:rFonts w:ascii="Tahoma" w:hAnsi="Tahoma" w:cs="Tahoma"/>
          <w:b/>
          <w:bCs/>
          <w:sz w:val="22"/>
          <w:szCs w:val="22"/>
        </w:rPr>
        <w:t xml:space="preserve">                     </w:t>
      </w:r>
      <w:r w:rsidR="00FB5677">
        <w:rPr>
          <w:rFonts w:ascii="Tahoma" w:hAnsi="Tahoma" w:cs="Tahoma"/>
          <w:b/>
          <w:bCs/>
          <w:sz w:val="22"/>
          <w:szCs w:val="22"/>
        </w:rPr>
        <w:t xml:space="preserve">ARGUELLO </w:t>
      </w: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Default="00FB5677" w:rsidP="00DE48B5">
      <w:pPr>
        <w:ind w:firstLine="0"/>
        <w:rPr>
          <w:rFonts w:ascii="Tahoma" w:hAnsi="Tahoma" w:cs="Tahoma"/>
          <w:b/>
          <w:bCs/>
          <w:sz w:val="22"/>
          <w:szCs w:val="22"/>
        </w:rPr>
      </w:pPr>
    </w:p>
    <w:p w:rsidR="00FB5677" w:rsidRPr="00FB5677" w:rsidRDefault="00FB5677" w:rsidP="00DE48B5">
      <w:pPr>
        <w:ind w:firstLine="0"/>
        <w:rPr>
          <w:rFonts w:ascii="Tahoma" w:hAnsi="Tahoma" w:cs="Tahoma"/>
          <w:b/>
          <w:bCs/>
          <w:sz w:val="22"/>
          <w:szCs w:val="22"/>
        </w:rPr>
      </w:pPr>
    </w:p>
    <w:p w:rsidR="00792FBA" w:rsidRDefault="00792FBA" w:rsidP="00DE48B5">
      <w:pPr>
        <w:ind w:firstLine="0"/>
        <w:rPr>
          <w:rFonts w:ascii="Tahoma" w:hAnsi="Tahoma" w:cs="Tahoma"/>
        </w:rPr>
      </w:pPr>
    </w:p>
    <w:p w:rsidR="00792FBA" w:rsidRDefault="00792FBA" w:rsidP="00DE48B5">
      <w:pPr>
        <w:ind w:firstLine="0"/>
        <w:rPr>
          <w:rFonts w:ascii="Tahoma" w:hAnsi="Tahoma" w:cs="Tahoma"/>
        </w:rPr>
      </w:pPr>
    </w:p>
    <w:p w:rsidR="00792FBA" w:rsidRDefault="00792FBA" w:rsidP="00DE48B5">
      <w:pPr>
        <w:ind w:firstLine="0"/>
        <w:rPr>
          <w:rFonts w:ascii="Tahoma" w:hAnsi="Tahoma" w:cs="Tahoma"/>
        </w:rPr>
      </w:pPr>
    </w:p>
    <w:p w:rsidR="00FB5677" w:rsidRDefault="00FB5677" w:rsidP="00DE48B5">
      <w:pPr>
        <w:ind w:firstLine="0"/>
        <w:rPr>
          <w:rFonts w:ascii="Tahoma" w:hAnsi="Tahoma" w:cs="Tahoma"/>
        </w:rPr>
      </w:pPr>
    </w:p>
    <w:p w:rsidR="00792FBA" w:rsidRPr="00C33CFE" w:rsidRDefault="00792FBA" w:rsidP="00DE48B5">
      <w:pPr>
        <w:ind w:firstLine="0"/>
        <w:rPr>
          <w:rFonts w:ascii="Tahoma" w:hAnsi="Tahoma" w:cs="Tahoma"/>
        </w:rPr>
      </w:pPr>
    </w:p>
    <w:sectPr w:rsidR="00792FBA" w:rsidRPr="00C33CFE">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522" w:rsidRDefault="00294522" w:rsidP="00A31256">
      <w:r>
        <w:separator/>
      </w:r>
    </w:p>
  </w:endnote>
  <w:endnote w:type="continuationSeparator" w:id="0">
    <w:p w:rsidR="00294522" w:rsidRDefault="00294522" w:rsidP="00A3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522" w:rsidRDefault="00294522" w:rsidP="00A31256">
      <w:r>
        <w:separator/>
      </w:r>
    </w:p>
  </w:footnote>
  <w:footnote w:type="continuationSeparator" w:id="0">
    <w:p w:rsidR="00294522" w:rsidRDefault="00294522" w:rsidP="00A31256">
      <w:r>
        <w:continuationSeparator/>
      </w:r>
    </w:p>
  </w:footnote>
  <w:footnote w:id="1">
    <w:p w:rsidR="00A31256" w:rsidRPr="00A31256" w:rsidRDefault="00A31256" w:rsidP="00A31256">
      <w:pPr>
        <w:pStyle w:val="NormalWeb"/>
        <w:jc w:val="both"/>
        <w:rPr>
          <w:rFonts w:ascii="Tahoma" w:hAnsi="Tahoma" w:cs="Tahoma"/>
          <w:sz w:val="16"/>
        </w:rPr>
      </w:pPr>
      <w:r>
        <w:rPr>
          <w:rStyle w:val="Refdenotaalpie"/>
        </w:rPr>
        <w:footnoteRef/>
      </w:r>
      <w:r>
        <w:t xml:space="preserve"> </w:t>
      </w:r>
      <w:r w:rsidRPr="00A31256">
        <w:rPr>
          <w:rFonts w:ascii="Tahoma" w:hAnsi="Tahoma" w:cs="Tahoma"/>
          <w:sz w:val="16"/>
        </w:rPr>
        <w:t>Fuentes consultadas:</w:t>
      </w:r>
    </w:p>
    <w:p w:rsidR="00A31256" w:rsidRPr="00A31256" w:rsidRDefault="00A31256" w:rsidP="00A31256">
      <w:pPr>
        <w:numPr>
          <w:ilvl w:val="0"/>
          <w:numId w:val="5"/>
        </w:numPr>
        <w:spacing w:before="100" w:beforeAutospacing="1" w:after="100" w:afterAutospacing="1"/>
        <w:rPr>
          <w:rFonts w:ascii="Tahoma" w:hAnsi="Tahoma" w:cs="Tahoma"/>
          <w:sz w:val="16"/>
        </w:rPr>
      </w:pPr>
      <w:r w:rsidRPr="00A31256">
        <w:rPr>
          <w:rFonts w:ascii="Tahoma" w:hAnsi="Tahoma" w:cs="Tahoma"/>
          <w:sz w:val="16"/>
        </w:rPr>
        <w:t>Estudio de mercado sobre precios de renta en Mérida, agosto 2025</w:t>
      </w:r>
    </w:p>
    <w:p w:rsidR="00A31256" w:rsidRPr="00A31256" w:rsidRDefault="00A31256" w:rsidP="00A31256">
      <w:pPr>
        <w:numPr>
          <w:ilvl w:val="0"/>
          <w:numId w:val="5"/>
        </w:numPr>
        <w:spacing w:before="100" w:beforeAutospacing="1" w:after="100" w:afterAutospacing="1"/>
        <w:rPr>
          <w:rFonts w:ascii="Tahoma" w:hAnsi="Tahoma" w:cs="Tahoma"/>
          <w:sz w:val="16"/>
        </w:rPr>
      </w:pPr>
      <w:r w:rsidRPr="00A31256">
        <w:rPr>
          <w:rFonts w:ascii="Tahoma" w:hAnsi="Tahoma" w:cs="Tahoma"/>
          <w:sz w:val="16"/>
        </w:rPr>
        <w:t>Guía sobre precios de rentas mensuales en Mérida, diciembre 2024</w:t>
      </w:r>
    </w:p>
    <w:p w:rsidR="00A31256" w:rsidRPr="00A31256" w:rsidRDefault="00A31256" w:rsidP="00A31256">
      <w:pPr>
        <w:numPr>
          <w:ilvl w:val="0"/>
          <w:numId w:val="5"/>
        </w:numPr>
        <w:spacing w:before="100" w:beforeAutospacing="1" w:after="100" w:afterAutospacing="1"/>
        <w:rPr>
          <w:rFonts w:ascii="Tahoma" w:hAnsi="Tahoma" w:cs="Tahoma"/>
          <w:sz w:val="16"/>
        </w:rPr>
      </w:pPr>
      <w:r w:rsidRPr="00A31256">
        <w:rPr>
          <w:rFonts w:ascii="Tahoma" w:hAnsi="Tahoma" w:cs="Tahoma"/>
          <w:sz w:val="16"/>
        </w:rPr>
        <w:t>Informe sobre costo de vida en Mérida, diciembre 2025</w:t>
      </w:r>
    </w:p>
    <w:p w:rsidR="00A31256" w:rsidRPr="00A31256" w:rsidRDefault="00A31256">
      <w:pPr>
        <w:pStyle w:val="Textonotapie"/>
        <w:rPr>
          <w:sz w:val="12"/>
          <w:lang w:val="es-MX"/>
        </w:rPr>
      </w:pPr>
    </w:p>
  </w:footnote>
  <w:footnote w:id="2">
    <w:p w:rsidR="006D638F" w:rsidRPr="00DD3E86" w:rsidRDefault="006D638F" w:rsidP="006D638F">
      <w:pPr>
        <w:pStyle w:val="Textonotapie"/>
        <w:rPr>
          <w:lang w:val="es-MX"/>
        </w:rPr>
      </w:pPr>
      <w:r>
        <w:rPr>
          <w:rStyle w:val="Refdenotaalpie"/>
        </w:rPr>
        <w:footnoteRef/>
      </w:r>
      <w:r>
        <w:t xml:space="preserve"> </w:t>
      </w:r>
      <w:r>
        <w:rPr>
          <w:rFonts w:ascii="Arial" w:hAnsi="Arial" w:cs="Arial"/>
          <w:color w:val="0A0A0A"/>
          <w:shd w:val="clear" w:color="auto" w:fill="FFFFFF"/>
        </w:rPr>
        <w:t>cede a otra (el arrendatario) el uso temporal de un bien, a cambio de un pago periódico llamado renta</w:t>
      </w:r>
    </w:p>
  </w:footnote>
  <w:footnote w:id="3">
    <w:p w:rsidR="003C5585" w:rsidRPr="00DD3E86" w:rsidRDefault="003C5585" w:rsidP="003C5585">
      <w:pPr>
        <w:pStyle w:val="Textonotapie"/>
        <w:rPr>
          <w:lang w:val="es-MX"/>
        </w:rPr>
      </w:pPr>
      <w:r>
        <w:rPr>
          <w:rStyle w:val="Refdenotaalpie"/>
        </w:rPr>
        <w:footnoteRef/>
      </w:r>
      <w:r>
        <w:t xml:space="preserve"> </w:t>
      </w:r>
      <w:r w:rsidR="002321F3">
        <w:t>C</w:t>
      </w:r>
      <w:r>
        <w:rPr>
          <w:rFonts w:ascii="Arial" w:hAnsi="Arial" w:cs="Arial"/>
          <w:color w:val="0A0A0A"/>
          <w:shd w:val="clear" w:color="auto" w:fill="FFFFFF"/>
        </w:rPr>
        <w:t>ede a otra (el arrendatario) el uso temporal de un bien, a cambio de un pago periódico llamado renta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097" w:rsidRDefault="00F07097" w:rsidP="00F07097">
    <w:pPr>
      <w:pStyle w:val="Encabezado"/>
      <w:ind w:left="-1800" w:right="-1800"/>
    </w:pPr>
    <w:r>
      <w:rPr>
        <w:noProof/>
        <w:lang w:val="es-MX" w:eastAsia="es-MX"/>
      </w:rPr>
      <mc:AlternateContent>
        <mc:Choice Requires="wps">
          <w:drawing>
            <wp:anchor distT="0" distB="0" distL="114300" distR="114300" simplePos="0" relativeHeight="251659264" behindDoc="0" locked="0" layoutInCell="0" allowOverlap="1" wp14:anchorId="2D2C0217" wp14:editId="0C58E83A">
              <wp:simplePos x="0" y="0"/>
              <wp:positionH relativeFrom="page">
                <wp:posOffset>6938010</wp:posOffset>
              </wp:positionH>
              <wp:positionV relativeFrom="page">
                <wp:posOffset>1625600</wp:posOffset>
              </wp:positionV>
              <wp:extent cx="581025" cy="409575"/>
              <wp:effectExtent l="0" t="0" r="0" b="0"/>
              <wp:wrapNone/>
              <wp:docPr id="883619749"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F07097" w:rsidRPr="00C83CE5" w:rsidRDefault="00F07097" w:rsidP="00F07097">
                          <w:pPr>
                            <w:pStyle w:val="Piedepgina"/>
                            <w:jc w:val="center"/>
                            <w:rPr>
                              <w:color w:val="FFFFFF"/>
                            </w:rPr>
                          </w:pPr>
                          <w:r w:rsidRPr="00C83CE5">
                            <w:fldChar w:fldCharType="begin"/>
                          </w:r>
                          <w:r>
                            <w:instrText>PAGE   \* MERGEFORMAT</w:instrText>
                          </w:r>
                          <w:r w:rsidRPr="00C83CE5">
                            <w:fldChar w:fldCharType="separate"/>
                          </w:r>
                          <w:r w:rsidR="00294522" w:rsidRPr="00294522">
                            <w:rPr>
                              <w:noProof/>
                              <w:color w:val="FFFFFF"/>
                              <w:lang w:val="es-ES"/>
                            </w:rPr>
                            <w:t>1</w:t>
                          </w:r>
                          <w:r w:rsidRPr="00C83CE5">
                            <w:rPr>
                              <w:color w:val="FFFFFF"/>
                            </w:rPr>
                            <w:fldChar w:fldCharType="end"/>
                          </w:r>
                        </w:p>
                        <w:p w:rsidR="00F07097" w:rsidRDefault="00F07097" w:rsidP="00F07097"/>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2D2C021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 o:spid="_x0000_s1026" type="#_x0000_t13" style="position:absolute;left:0;text-align:left;margin-left:546.3pt;margin-top:128pt;width:45.75pt;height:32.25pt;rotation:18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" o:allowincell="f" adj="13609,5370" fillcolor="#c0504d" stroked="f" strokecolor="#5c83b4">
              <v:path arrowok="t"/>
              <v:textbox inset=",0,,0">
                <w:txbxContent>
                  <w:p w:rsidR="00F07097" w:rsidRPr="00C83CE5" w:rsidRDefault="00F07097" w:rsidP="00F07097">
                    <w:pPr>
                      <w:pStyle w:val="Piedepgina"/>
                      <w:jc w:val="center"/>
                      <w:rPr>
                        <w:color w:val="FFFFFF"/>
                      </w:rPr>
                    </w:pPr>
                    <w:r w:rsidRPr="00C83CE5">
                      <w:fldChar w:fldCharType="begin"/>
                    </w:r>
                    <w:r>
                      <w:instrText>PAGE   \* MERGEFORMAT</w:instrText>
                    </w:r>
                    <w:r w:rsidRPr="00C83CE5">
                      <w:fldChar w:fldCharType="separate"/>
                    </w:r>
                    <w:r w:rsidR="00294522" w:rsidRPr="00294522">
                      <w:rPr>
                        <w:noProof/>
                        <w:color w:val="FFFFFF"/>
                        <w:lang w:val="es-ES"/>
                      </w:rPr>
                      <w:t>1</w:t>
                    </w:r>
                    <w:r w:rsidRPr="00C83CE5">
                      <w:rPr>
                        <w:color w:val="FFFFFF"/>
                      </w:rPr>
                      <w:fldChar w:fldCharType="end"/>
                    </w:r>
                  </w:p>
                  <w:p w:rsidR="00F07097" w:rsidRDefault="00F07097" w:rsidP="00F07097"/>
                </w:txbxContent>
              </v:textbox>
              <w10:wrap anchorx="page" anchory="page"/>
            </v:shape>
          </w:pict>
        </mc:Fallback>
      </mc:AlternateContent>
    </w:r>
    <w:r>
      <w:rPr>
        <w:noProof/>
        <w:lang w:val="es-MX" w:eastAsia="es-MX"/>
      </w:rPr>
      <w:drawing>
        <wp:inline distT="0" distB="0" distL="0" distR="0" wp14:anchorId="49D1B191" wp14:editId="0C95DFDF">
          <wp:extent cx="7859395" cy="1458595"/>
          <wp:effectExtent l="0" t="0" r="0" b="0"/>
          <wp:docPr id="1"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9395" cy="1458595"/>
                  </a:xfrm>
                  <a:prstGeom prst="rect">
                    <a:avLst/>
                  </a:prstGeom>
                  <a:noFill/>
                  <a:ln>
                    <a:noFill/>
                  </a:ln>
                </pic:spPr>
              </pic:pic>
            </a:graphicData>
          </a:graphic>
        </wp:inline>
      </w:drawing>
    </w:r>
  </w:p>
  <w:p w:rsidR="00F07097" w:rsidRDefault="00F07097" w:rsidP="00F07097">
    <w:pPr>
      <w:pStyle w:val="Encabezado"/>
      <w:ind w:left="-1800" w:right="-1800"/>
    </w:pPr>
  </w:p>
  <w:p w:rsidR="00F07097" w:rsidRDefault="00F070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6174C"/>
    <w:multiLevelType w:val="multilevel"/>
    <w:tmpl w:val="E7F67E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227F9A"/>
    <w:multiLevelType w:val="hybridMultilevel"/>
    <w:tmpl w:val="21AAF040"/>
    <w:lvl w:ilvl="0" w:tplc="509E5506">
      <w:start w:val="1"/>
      <w:numFmt w:val="upperRoman"/>
      <w:lvlText w:val="%1."/>
      <w:lvlJc w:val="left"/>
      <w:pPr>
        <w:ind w:left="1146"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56C0302"/>
    <w:multiLevelType w:val="hybridMultilevel"/>
    <w:tmpl w:val="03FACB0A"/>
    <w:lvl w:ilvl="0" w:tplc="C8144568">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A245FC7"/>
    <w:multiLevelType w:val="multilevel"/>
    <w:tmpl w:val="5798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3E79AA"/>
    <w:multiLevelType w:val="multilevel"/>
    <w:tmpl w:val="84D8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D1240E"/>
    <w:multiLevelType w:val="multilevel"/>
    <w:tmpl w:val="ADC6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74028B"/>
    <w:multiLevelType w:val="hybridMultilevel"/>
    <w:tmpl w:val="6548F848"/>
    <w:lvl w:ilvl="0" w:tplc="DF9AB7CC">
      <w:start w:val="1"/>
      <w:numFmt w:val="upperRoman"/>
      <w:lvlText w:val="%1."/>
      <w:lvlJc w:val="righ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45E0FDF"/>
    <w:multiLevelType w:val="multilevel"/>
    <w:tmpl w:val="04BAAA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882F87"/>
    <w:multiLevelType w:val="multilevel"/>
    <w:tmpl w:val="132A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4D612C"/>
    <w:multiLevelType w:val="multilevel"/>
    <w:tmpl w:val="1EB6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650BE2"/>
    <w:multiLevelType w:val="multilevel"/>
    <w:tmpl w:val="FB74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D23F30"/>
    <w:multiLevelType w:val="multilevel"/>
    <w:tmpl w:val="BEDC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076DA1"/>
    <w:multiLevelType w:val="hybridMultilevel"/>
    <w:tmpl w:val="2C423A12"/>
    <w:lvl w:ilvl="0" w:tplc="39E458EE">
      <w:start w:val="1"/>
      <w:numFmt w:val="upperRoman"/>
      <w:lvlText w:val="%1."/>
      <w:lvlJc w:val="left"/>
      <w:pPr>
        <w:ind w:left="1146" w:hanging="72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3">
    <w:nsid w:val="705540CD"/>
    <w:multiLevelType w:val="multilevel"/>
    <w:tmpl w:val="7846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C450AB"/>
    <w:multiLevelType w:val="hybridMultilevel"/>
    <w:tmpl w:val="E79285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E612814"/>
    <w:multiLevelType w:val="multilevel"/>
    <w:tmpl w:val="6566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13"/>
  </w:num>
  <w:num w:numId="4">
    <w:abstractNumId w:val="3"/>
  </w:num>
  <w:num w:numId="5">
    <w:abstractNumId w:val="5"/>
  </w:num>
  <w:num w:numId="6">
    <w:abstractNumId w:val="15"/>
  </w:num>
  <w:num w:numId="7">
    <w:abstractNumId w:val="4"/>
  </w:num>
  <w:num w:numId="8">
    <w:abstractNumId w:val="9"/>
  </w:num>
  <w:num w:numId="9">
    <w:abstractNumId w:val="7"/>
  </w:num>
  <w:num w:numId="10">
    <w:abstractNumId w:val="8"/>
  </w:num>
  <w:num w:numId="11">
    <w:abstractNumId w:val="0"/>
  </w:num>
  <w:num w:numId="12">
    <w:abstractNumId w:val="14"/>
  </w:num>
  <w:num w:numId="13">
    <w:abstractNumId w:val="2"/>
  </w:num>
  <w:num w:numId="14">
    <w:abstractNumId w:val="12"/>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8B5"/>
    <w:rsid w:val="000174B1"/>
    <w:rsid w:val="00092525"/>
    <w:rsid w:val="00193AA3"/>
    <w:rsid w:val="0019582D"/>
    <w:rsid w:val="001A6F89"/>
    <w:rsid w:val="001C69DE"/>
    <w:rsid w:val="002321F3"/>
    <w:rsid w:val="00263747"/>
    <w:rsid w:val="00273928"/>
    <w:rsid w:val="00294522"/>
    <w:rsid w:val="00314BE9"/>
    <w:rsid w:val="003202DA"/>
    <w:rsid w:val="0032642F"/>
    <w:rsid w:val="0032660B"/>
    <w:rsid w:val="003C5585"/>
    <w:rsid w:val="003C7355"/>
    <w:rsid w:val="003E1E61"/>
    <w:rsid w:val="004465E6"/>
    <w:rsid w:val="004A3ACD"/>
    <w:rsid w:val="004B199E"/>
    <w:rsid w:val="004B76A9"/>
    <w:rsid w:val="00500A9F"/>
    <w:rsid w:val="005658CA"/>
    <w:rsid w:val="005728F1"/>
    <w:rsid w:val="00573D41"/>
    <w:rsid w:val="0062236D"/>
    <w:rsid w:val="006D638F"/>
    <w:rsid w:val="0070703C"/>
    <w:rsid w:val="00792FBA"/>
    <w:rsid w:val="0080387A"/>
    <w:rsid w:val="00834A45"/>
    <w:rsid w:val="00842C0D"/>
    <w:rsid w:val="00893551"/>
    <w:rsid w:val="008B1887"/>
    <w:rsid w:val="008C3374"/>
    <w:rsid w:val="008D5C01"/>
    <w:rsid w:val="008E5DCE"/>
    <w:rsid w:val="00951298"/>
    <w:rsid w:val="009553C9"/>
    <w:rsid w:val="00971DF3"/>
    <w:rsid w:val="009A3E0A"/>
    <w:rsid w:val="00A31256"/>
    <w:rsid w:val="00B32306"/>
    <w:rsid w:val="00B36EB6"/>
    <w:rsid w:val="00B754AE"/>
    <w:rsid w:val="00BA0814"/>
    <w:rsid w:val="00BD4DEF"/>
    <w:rsid w:val="00BE767F"/>
    <w:rsid w:val="00C33CFE"/>
    <w:rsid w:val="00C637FE"/>
    <w:rsid w:val="00C86686"/>
    <w:rsid w:val="00CE7713"/>
    <w:rsid w:val="00D32D2C"/>
    <w:rsid w:val="00D53D3D"/>
    <w:rsid w:val="00D82DA2"/>
    <w:rsid w:val="00D963C7"/>
    <w:rsid w:val="00DC6D1E"/>
    <w:rsid w:val="00DC7621"/>
    <w:rsid w:val="00DE3FDD"/>
    <w:rsid w:val="00DE48B5"/>
    <w:rsid w:val="00E024FA"/>
    <w:rsid w:val="00E1787E"/>
    <w:rsid w:val="00E553E1"/>
    <w:rsid w:val="00E737C3"/>
    <w:rsid w:val="00EC71E0"/>
    <w:rsid w:val="00ED09D4"/>
    <w:rsid w:val="00EE525E"/>
    <w:rsid w:val="00F07097"/>
    <w:rsid w:val="00F4006A"/>
    <w:rsid w:val="00F93045"/>
    <w:rsid w:val="00FB1AA6"/>
    <w:rsid w:val="00FB2B6A"/>
    <w:rsid w:val="00FB56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105E8"/>
  <w15:chartTrackingRefBased/>
  <w15:docId w15:val="{5377C660-D86E-BD4E-BC4E-B89C13D2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9DE"/>
    <w:rPr>
      <w:lang w:val="es-ES_tradnl"/>
    </w:rPr>
  </w:style>
  <w:style w:type="paragraph" w:styleId="Ttulo1">
    <w:name w:val="heading 1"/>
    <w:basedOn w:val="Normal"/>
    <w:next w:val="Normal"/>
    <w:link w:val="Ttulo1Car"/>
    <w:uiPriority w:val="9"/>
    <w:qFormat/>
    <w:rsid w:val="00DE4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E4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48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48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48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48B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48B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48B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48B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48B5"/>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DE48B5"/>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DE48B5"/>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DE48B5"/>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DE48B5"/>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DE48B5"/>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DE48B5"/>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DE48B5"/>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DE48B5"/>
    <w:rPr>
      <w:rFonts w:eastAsiaTheme="majorEastAsia" w:cstheme="majorBidi"/>
      <w:color w:val="272727" w:themeColor="text1" w:themeTint="D8"/>
      <w:lang w:val="es-ES_tradnl"/>
    </w:rPr>
  </w:style>
  <w:style w:type="paragraph" w:styleId="Puesto">
    <w:name w:val="Title"/>
    <w:basedOn w:val="Normal"/>
    <w:next w:val="Normal"/>
    <w:link w:val="PuestoCar"/>
    <w:uiPriority w:val="10"/>
    <w:qFormat/>
    <w:rsid w:val="00DE48B5"/>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DE48B5"/>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DE48B5"/>
    <w:pPr>
      <w:numPr>
        <w:ilvl w:val="1"/>
      </w:numPr>
      <w:spacing w:after="160"/>
      <w:ind w:firstLine="425"/>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48B5"/>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DE48B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E48B5"/>
    <w:rPr>
      <w:i/>
      <w:iCs/>
      <w:color w:val="404040" w:themeColor="text1" w:themeTint="BF"/>
      <w:lang w:val="es-ES_tradnl"/>
    </w:rPr>
  </w:style>
  <w:style w:type="paragraph" w:styleId="Prrafodelista">
    <w:name w:val="List Paragraph"/>
    <w:aliases w:val="Cuadro,Lista general,AB List 1,Bullet Points,CNBV Parrafo1,lp1,List Paragraph1,Bullet List,FooterText,numbered,Paragraphe de liste1,Bulletr List Paragraph,List Paragraph-Thesis,Dot pt,List Paragraph Char Char Char,Indicator Text"/>
    <w:basedOn w:val="Normal"/>
    <w:link w:val="PrrafodelistaCar"/>
    <w:qFormat/>
    <w:rsid w:val="00DE48B5"/>
    <w:pPr>
      <w:ind w:left="720"/>
      <w:contextualSpacing/>
    </w:pPr>
  </w:style>
  <w:style w:type="character" w:styleId="nfasisintenso">
    <w:name w:val="Intense Emphasis"/>
    <w:basedOn w:val="Fuentedeprrafopredeter"/>
    <w:uiPriority w:val="21"/>
    <w:qFormat/>
    <w:rsid w:val="00DE48B5"/>
    <w:rPr>
      <w:i/>
      <w:iCs/>
      <w:color w:val="0F4761" w:themeColor="accent1" w:themeShade="BF"/>
    </w:rPr>
  </w:style>
  <w:style w:type="paragraph" w:styleId="Citadestacada">
    <w:name w:val="Intense Quote"/>
    <w:basedOn w:val="Normal"/>
    <w:next w:val="Normal"/>
    <w:link w:val="CitadestacadaCar"/>
    <w:uiPriority w:val="30"/>
    <w:qFormat/>
    <w:rsid w:val="00DE4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48B5"/>
    <w:rPr>
      <w:i/>
      <w:iCs/>
      <w:color w:val="0F4761" w:themeColor="accent1" w:themeShade="BF"/>
      <w:lang w:val="es-ES_tradnl"/>
    </w:rPr>
  </w:style>
  <w:style w:type="character" w:styleId="Referenciaintensa">
    <w:name w:val="Intense Reference"/>
    <w:basedOn w:val="Fuentedeprrafopredeter"/>
    <w:uiPriority w:val="32"/>
    <w:qFormat/>
    <w:rsid w:val="00DE48B5"/>
    <w:rPr>
      <w:b/>
      <w:bCs/>
      <w:smallCaps/>
      <w:color w:val="0F4761" w:themeColor="accent1" w:themeShade="BF"/>
      <w:spacing w:val="5"/>
    </w:rPr>
  </w:style>
  <w:style w:type="paragraph" w:styleId="Textoindependiente">
    <w:name w:val="Body Text"/>
    <w:basedOn w:val="Normal"/>
    <w:link w:val="TextoindependienteCar"/>
    <w:uiPriority w:val="1"/>
    <w:qFormat/>
    <w:rsid w:val="00DE48B5"/>
    <w:pPr>
      <w:widowControl w:val="0"/>
      <w:autoSpaceDE w:val="0"/>
      <w:autoSpaceDN w:val="0"/>
      <w:ind w:firstLine="0"/>
      <w:jc w:val="left"/>
    </w:pPr>
    <w:rPr>
      <w:rFonts w:ascii="Arial" w:eastAsia="Arial" w:hAnsi="Arial" w:cs="Arial"/>
      <w:kern w:val="0"/>
      <w:sz w:val="25"/>
      <w:szCs w:val="25"/>
      <w:lang w:val="es-ES"/>
      <w14:ligatures w14:val="none"/>
    </w:rPr>
  </w:style>
  <w:style w:type="character" w:customStyle="1" w:styleId="TextoindependienteCar">
    <w:name w:val="Texto independiente Car"/>
    <w:basedOn w:val="Fuentedeprrafopredeter"/>
    <w:link w:val="Textoindependiente"/>
    <w:uiPriority w:val="1"/>
    <w:rsid w:val="00DE48B5"/>
    <w:rPr>
      <w:rFonts w:ascii="Arial" w:eastAsia="Arial" w:hAnsi="Arial" w:cs="Arial"/>
      <w:kern w:val="0"/>
      <w:sz w:val="25"/>
      <w:szCs w:val="25"/>
      <w:lang w:val="es-ES"/>
      <w14:ligatures w14:val="none"/>
    </w:rPr>
  </w:style>
  <w:style w:type="paragraph" w:styleId="z-Principiodelformulario">
    <w:name w:val="HTML Top of Form"/>
    <w:basedOn w:val="Normal"/>
    <w:next w:val="Normal"/>
    <w:link w:val="z-PrincipiodelformularioCar"/>
    <w:hidden/>
    <w:uiPriority w:val="99"/>
    <w:semiHidden/>
    <w:unhideWhenUsed/>
    <w:rsid w:val="00CE7713"/>
    <w:pPr>
      <w:pBdr>
        <w:bottom w:val="single" w:sz="6" w:space="1" w:color="auto"/>
      </w:pBdr>
      <w:ind w:firstLine="0"/>
      <w:jc w:val="center"/>
    </w:pPr>
    <w:rPr>
      <w:rFonts w:ascii="Arial" w:eastAsia="Times New Roman" w:hAnsi="Arial" w:cs="Arial"/>
      <w:vanish/>
      <w:kern w:val="0"/>
      <w:sz w:val="16"/>
      <w:szCs w:val="16"/>
      <w:lang w:val="es-MX" w:eastAsia="es-MX"/>
      <w14:ligatures w14:val="none"/>
    </w:rPr>
  </w:style>
  <w:style w:type="character" w:customStyle="1" w:styleId="z-PrincipiodelformularioCar">
    <w:name w:val="z-Principio del formulario Car"/>
    <w:basedOn w:val="Fuentedeprrafopredeter"/>
    <w:link w:val="z-Principiodelformulario"/>
    <w:uiPriority w:val="99"/>
    <w:semiHidden/>
    <w:rsid w:val="00CE7713"/>
    <w:rPr>
      <w:rFonts w:ascii="Arial" w:eastAsia="Times New Roman" w:hAnsi="Arial" w:cs="Arial"/>
      <w:vanish/>
      <w:kern w:val="0"/>
      <w:sz w:val="16"/>
      <w:szCs w:val="16"/>
      <w:lang w:eastAsia="es-MX"/>
      <w14:ligatures w14:val="none"/>
    </w:rPr>
  </w:style>
  <w:style w:type="paragraph" w:styleId="z-Finaldelformulario">
    <w:name w:val="HTML Bottom of Form"/>
    <w:basedOn w:val="Normal"/>
    <w:next w:val="Normal"/>
    <w:link w:val="z-FinaldelformularioCar"/>
    <w:hidden/>
    <w:uiPriority w:val="99"/>
    <w:semiHidden/>
    <w:unhideWhenUsed/>
    <w:rsid w:val="00CE7713"/>
    <w:pPr>
      <w:pBdr>
        <w:top w:val="single" w:sz="6" w:space="1" w:color="auto"/>
      </w:pBdr>
      <w:ind w:firstLine="0"/>
      <w:jc w:val="center"/>
    </w:pPr>
    <w:rPr>
      <w:rFonts w:ascii="Arial" w:eastAsia="Times New Roman" w:hAnsi="Arial" w:cs="Arial"/>
      <w:vanish/>
      <w:kern w:val="0"/>
      <w:sz w:val="16"/>
      <w:szCs w:val="16"/>
      <w:lang w:val="es-MX" w:eastAsia="es-MX"/>
      <w14:ligatures w14:val="none"/>
    </w:rPr>
  </w:style>
  <w:style w:type="character" w:customStyle="1" w:styleId="z-FinaldelformularioCar">
    <w:name w:val="z-Final del formulario Car"/>
    <w:basedOn w:val="Fuentedeprrafopredeter"/>
    <w:link w:val="z-Finaldelformulario"/>
    <w:uiPriority w:val="99"/>
    <w:semiHidden/>
    <w:rsid w:val="00CE7713"/>
    <w:rPr>
      <w:rFonts w:ascii="Arial" w:eastAsia="Times New Roman" w:hAnsi="Arial" w:cs="Arial"/>
      <w:vanish/>
      <w:kern w:val="0"/>
      <w:sz w:val="16"/>
      <w:szCs w:val="16"/>
      <w:lang w:eastAsia="es-MX"/>
      <w14:ligatures w14:val="none"/>
    </w:rPr>
  </w:style>
  <w:style w:type="character" w:styleId="Hipervnculo">
    <w:name w:val="Hyperlink"/>
    <w:basedOn w:val="Fuentedeprrafopredeter"/>
    <w:uiPriority w:val="99"/>
    <w:semiHidden/>
    <w:unhideWhenUsed/>
    <w:rsid w:val="00CE7713"/>
    <w:rPr>
      <w:color w:val="0000FF"/>
      <w:u w:val="single"/>
    </w:rPr>
  </w:style>
  <w:style w:type="character" w:customStyle="1" w:styleId="gbu">
    <w:name w:val="gb_u"/>
    <w:basedOn w:val="Fuentedeprrafopredeter"/>
    <w:rsid w:val="00CE7713"/>
  </w:style>
  <w:style w:type="character" w:customStyle="1" w:styleId="r1qwuf">
    <w:name w:val="r1qwuf"/>
    <w:basedOn w:val="Fuentedeprrafopredeter"/>
    <w:rsid w:val="00CE7713"/>
  </w:style>
  <w:style w:type="character" w:customStyle="1" w:styleId="vkekvd">
    <w:name w:val="vkekvd"/>
    <w:basedOn w:val="Fuentedeprrafopredeter"/>
    <w:rsid w:val="00CE7713"/>
  </w:style>
  <w:style w:type="character" w:customStyle="1" w:styleId="ifmvxd">
    <w:name w:val="ifmvxd"/>
    <w:basedOn w:val="Fuentedeprrafopredeter"/>
    <w:rsid w:val="00CE7713"/>
  </w:style>
  <w:style w:type="character" w:customStyle="1" w:styleId="ijm6od">
    <w:name w:val="ijm6od"/>
    <w:basedOn w:val="Fuentedeprrafopredeter"/>
    <w:rsid w:val="00CE7713"/>
  </w:style>
  <w:style w:type="character" w:styleId="Textoennegrita">
    <w:name w:val="Strong"/>
    <w:basedOn w:val="Fuentedeprrafopredeter"/>
    <w:uiPriority w:val="22"/>
    <w:qFormat/>
    <w:rsid w:val="00CE7713"/>
    <w:rPr>
      <w:b/>
      <w:bCs/>
    </w:rPr>
  </w:style>
  <w:style w:type="paragraph" w:customStyle="1" w:styleId="df3vjf">
    <w:name w:val="df3vjf"/>
    <w:basedOn w:val="Normal"/>
    <w:rsid w:val="00CE7713"/>
    <w:pPr>
      <w:spacing w:before="100" w:beforeAutospacing="1" w:after="100" w:afterAutospacing="1"/>
      <w:ind w:firstLine="0"/>
      <w:jc w:val="left"/>
    </w:pPr>
    <w:rPr>
      <w:rFonts w:ascii="Times New Roman" w:eastAsia="Times New Roman" w:hAnsi="Times New Roman" w:cs="Times New Roman"/>
      <w:kern w:val="0"/>
      <w:lang w:val="es-MX" w:eastAsia="es-MX"/>
      <w14:ligatures w14:val="none"/>
    </w:rPr>
  </w:style>
  <w:style w:type="character" w:customStyle="1" w:styleId="t286pc">
    <w:name w:val="t286pc"/>
    <w:basedOn w:val="Fuentedeprrafopredeter"/>
    <w:rsid w:val="00CE7713"/>
  </w:style>
  <w:style w:type="character" w:customStyle="1" w:styleId="apple-converted-space">
    <w:name w:val="apple-converted-space"/>
    <w:basedOn w:val="Fuentedeprrafopredeter"/>
    <w:rsid w:val="00CE7713"/>
  </w:style>
  <w:style w:type="paragraph" w:customStyle="1" w:styleId="nota-justify">
    <w:name w:val="nota-justify"/>
    <w:basedOn w:val="Normal"/>
    <w:rsid w:val="00951298"/>
    <w:pPr>
      <w:spacing w:before="100" w:beforeAutospacing="1" w:after="100" w:afterAutospacing="1"/>
      <w:ind w:firstLine="0"/>
      <w:jc w:val="left"/>
    </w:pPr>
    <w:rPr>
      <w:rFonts w:ascii="Times New Roman" w:eastAsia="Times New Roman" w:hAnsi="Times New Roman" w:cs="Times New Roman"/>
      <w:kern w:val="0"/>
      <w:lang w:val="es-MX" w:eastAsia="es-MX"/>
      <w14:ligatures w14:val="none"/>
    </w:rPr>
  </w:style>
  <w:style w:type="paragraph" w:styleId="NormalWeb">
    <w:name w:val="Normal (Web)"/>
    <w:basedOn w:val="Normal"/>
    <w:uiPriority w:val="99"/>
    <w:semiHidden/>
    <w:unhideWhenUsed/>
    <w:rsid w:val="00273928"/>
    <w:pPr>
      <w:spacing w:before="100" w:beforeAutospacing="1" w:after="100" w:afterAutospacing="1"/>
      <w:ind w:firstLine="0"/>
      <w:jc w:val="left"/>
    </w:pPr>
    <w:rPr>
      <w:rFonts w:ascii="Times New Roman" w:eastAsia="Times New Roman" w:hAnsi="Times New Roman" w:cs="Times New Roman"/>
      <w:kern w:val="0"/>
      <w:lang w:val="es-MX" w:eastAsia="es-MX"/>
      <w14:ligatures w14:val="none"/>
    </w:rPr>
  </w:style>
  <w:style w:type="character" w:styleId="nfasis">
    <w:name w:val="Emphasis"/>
    <w:basedOn w:val="Fuentedeprrafopredeter"/>
    <w:uiPriority w:val="20"/>
    <w:qFormat/>
    <w:rsid w:val="00273928"/>
    <w:rPr>
      <w:i/>
      <w:iCs/>
    </w:rPr>
  </w:style>
  <w:style w:type="paragraph" w:styleId="Textonotapie">
    <w:name w:val="footnote text"/>
    <w:basedOn w:val="Normal"/>
    <w:link w:val="TextonotapieCar"/>
    <w:uiPriority w:val="99"/>
    <w:semiHidden/>
    <w:unhideWhenUsed/>
    <w:rsid w:val="00A31256"/>
    <w:rPr>
      <w:sz w:val="20"/>
      <w:szCs w:val="20"/>
    </w:rPr>
  </w:style>
  <w:style w:type="character" w:customStyle="1" w:styleId="TextonotapieCar">
    <w:name w:val="Texto nota pie Car"/>
    <w:basedOn w:val="Fuentedeprrafopredeter"/>
    <w:link w:val="Textonotapie"/>
    <w:uiPriority w:val="99"/>
    <w:semiHidden/>
    <w:rsid w:val="00A31256"/>
    <w:rPr>
      <w:sz w:val="20"/>
      <w:szCs w:val="20"/>
      <w:lang w:val="es-ES_tradnl"/>
    </w:rPr>
  </w:style>
  <w:style w:type="character" w:styleId="Refdenotaalpie">
    <w:name w:val="footnote reference"/>
    <w:basedOn w:val="Fuentedeprrafopredeter"/>
    <w:uiPriority w:val="99"/>
    <w:semiHidden/>
    <w:unhideWhenUsed/>
    <w:rsid w:val="00A31256"/>
    <w:rPr>
      <w:vertAlign w:val="superscript"/>
    </w:rPr>
  </w:style>
  <w:style w:type="table" w:styleId="Tablaconcuadrcula">
    <w:name w:val="Table Grid"/>
    <w:basedOn w:val="Tablanormal"/>
    <w:uiPriority w:val="39"/>
    <w:rsid w:val="006D63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Cuadro Car,Lista general Car,AB List 1 Car,Bullet Points Car,CNBV Parrafo1 Car,lp1 Car,List Paragraph1 Car,Bullet List Car,FooterText Car,numbered Car,Paragraphe de liste1 Car,Bulletr List Paragraph Car,List Paragraph-Thesis Car"/>
    <w:link w:val="Prrafodelista"/>
    <w:qFormat/>
    <w:locked/>
    <w:rsid w:val="006D638F"/>
    <w:rPr>
      <w:lang w:val="es-ES_tradnl"/>
    </w:rPr>
  </w:style>
  <w:style w:type="paragraph" w:customStyle="1" w:styleId="Default">
    <w:name w:val="Default"/>
    <w:rsid w:val="006D638F"/>
    <w:pPr>
      <w:autoSpaceDE w:val="0"/>
      <w:autoSpaceDN w:val="0"/>
      <w:adjustRightInd w:val="0"/>
      <w:ind w:firstLine="0"/>
      <w:jc w:val="left"/>
    </w:pPr>
    <w:rPr>
      <w:rFonts w:ascii="Arial" w:hAnsi="Arial" w:cs="Arial"/>
      <w:color w:val="000000"/>
      <w:kern w:val="0"/>
    </w:rPr>
  </w:style>
  <w:style w:type="paragraph" w:styleId="Encabezado">
    <w:name w:val="header"/>
    <w:basedOn w:val="Normal"/>
    <w:link w:val="EncabezadoCar"/>
    <w:uiPriority w:val="99"/>
    <w:unhideWhenUsed/>
    <w:rsid w:val="00F07097"/>
    <w:pPr>
      <w:tabs>
        <w:tab w:val="center" w:pos="4419"/>
        <w:tab w:val="right" w:pos="8838"/>
      </w:tabs>
    </w:pPr>
  </w:style>
  <w:style w:type="character" w:customStyle="1" w:styleId="EncabezadoCar">
    <w:name w:val="Encabezado Car"/>
    <w:basedOn w:val="Fuentedeprrafopredeter"/>
    <w:link w:val="Encabezado"/>
    <w:uiPriority w:val="99"/>
    <w:rsid w:val="00F07097"/>
    <w:rPr>
      <w:lang w:val="es-ES_tradnl"/>
    </w:rPr>
  </w:style>
  <w:style w:type="paragraph" w:styleId="Piedepgina">
    <w:name w:val="footer"/>
    <w:basedOn w:val="Normal"/>
    <w:link w:val="PiedepginaCar"/>
    <w:uiPriority w:val="99"/>
    <w:unhideWhenUsed/>
    <w:rsid w:val="00F07097"/>
    <w:pPr>
      <w:tabs>
        <w:tab w:val="center" w:pos="4419"/>
        <w:tab w:val="right" w:pos="8838"/>
      </w:tabs>
    </w:pPr>
  </w:style>
  <w:style w:type="character" w:customStyle="1" w:styleId="PiedepginaCar">
    <w:name w:val="Pie de página Car"/>
    <w:basedOn w:val="Fuentedeprrafopredeter"/>
    <w:link w:val="Piedepgina"/>
    <w:uiPriority w:val="99"/>
    <w:rsid w:val="00F07097"/>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40779">
      <w:bodyDiv w:val="1"/>
      <w:marLeft w:val="0"/>
      <w:marRight w:val="0"/>
      <w:marTop w:val="0"/>
      <w:marBottom w:val="0"/>
      <w:divBdr>
        <w:top w:val="none" w:sz="0" w:space="0" w:color="auto"/>
        <w:left w:val="none" w:sz="0" w:space="0" w:color="auto"/>
        <w:bottom w:val="none" w:sz="0" w:space="0" w:color="auto"/>
        <w:right w:val="none" w:sz="0" w:space="0" w:color="auto"/>
      </w:divBdr>
    </w:div>
    <w:div w:id="390887210">
      <w:bodyDiv w:val="1"/>
      <w:marLeft w:val="0"/>
      <w:marRight w:val="0"/>
      <w:marTop w:val="0"/>
      <w:marBottom w:val="0"/>
      <w:divBdr>
        <w:top w:val="none" w:sz="0" w:space="0" w:color="auto"/>
        <w:left w:val="none" w:sz="0" w:space="0" w:color="auto"/>
        <w:bottom w:val="none" w:sz="0" w:space="0" w:color="auto"/>
        <w:right w:val="none" w:sz="0" w:space="0" w:color="auto"/>
      </w:divBdr>
    </w:div>
    <w:div w:id="933319181">
      <w:bodyDiv w:val="1"/>
      <w:marLeft w:val="0"/>
      <w:marRight w:val="0"/>
      <w:marTop w:val="0"/>
      <w:marBottom w:val="0"/>
      <w:divBdr>
        <w:top w:val="none" w:sz="0" w:space="0" w:color="auto"/>
        <w:left w:val="none" w:sz="0" w:space="0" w:color="auto"/>
        <w:bottom w:val="none" w:sz="0" w:space="0" w:color="auto"/>
        <w:right w:val="none" w:sz="0" w:space="0" w:color="auto"/>
      </w:divBdr>
    </w:div>
    <w:div w:id="1553879757">
      <w:bodyDiv w:val="1"/>
      <w:marLeft w:val="0"/>
      <w:marRight w:val="0"/>
      <w:marTop w:val="0"/>
      <w:marBottom w:val="0"/>
      <w:divBdr>
        <w:top w:val="none" w:sz="0" w:space="0" w:color="auto"/>
        <w:left w:val="none" w:sz="0" w:space="0" w:color="auto"/>
        <w:bottom w:val="none" w:sz="0" w:space="0" w:color="auto"/>
        <w:right w:val="none" w:sz="0" w:space="0" w:color="auto"/>
      </w:divBdr>
    </w:div>
    <w:div w:id="169392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0050-F257-47E0-9399-21881FC0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6357</Words>
  <Characters>34969</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Mendez Gutierrez</dc:creator>
  <cp:keywords/>
  <dc:description/>
  <cp:lastModifiedBy>CEYB40</cp:lastModifiedBy>
  <cp:revision>1</cp:revision>
  <dcterms:created xsi:type="dcterms:W3CDTF">2026-07-28T19:24:00Z</dcterms:created>
  <dcterms:modified xsi:type="dcterms:W3CDTF">2026-07-28T19:24:00Z</dcterms:modified>
</cp:coreProperties>
</file>